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341C19" w14:textId="2E9BCD86" w:rsidR="009E5B6B" w:rsidRDefault="00FB4BF7">
      <w:pPr>
        <w:pStyle w:val="a3"/>
        <w:adjustRightInd/>
        <w:snapToGrid w:val="0"/>
        <w:spacing w:line="428" w:lineRule="exact"/>
        <w:jc w:val="center"/>
        <w:rPr>
          <w:rFonts w:hAnsi="Times New Roman" w:cs="Times New Roman"/>
        </w:rPr>
      </w:pPr>
      <w:r>
        <w:rPr>
          <w:rFonts w:eastAsia="ＭＳ ゴシック" w:hAnsi="Times New Roman" w:cs="ＭＳ ゴシック" w:hint="eastAsia"/>
          <w:sz w:val="30"/>
          <w:szCs w:val="30"/>
        </w:rPr>
        <w:t>令和</w:t>
      </w:r>
      <w:r w:rsidR="002D64A5">
        <w:rPr>
          <w:rFonts w:eastAsia="ＭＳ ゴシック" w:hAnsi="Times New Roman" w:cs="ＭＳ ゴシック" w:hint="eastAsia"/>
          <w:sz w:val="30"/>
          <w:szCs w:val="30"/>
        </w:rPr>
        <w:t>７</w:t>
      </w:r>
      <w:r>
        <w:rPr>
          <w:rFonts w:eastAsia="ＭＳ ゴシック" w:hAnsi="Times New Roman" w:cs="ＭＳ ゴシック" w:hint="eastAsia"/>
          <w:sz w:val="30"/>
          <w:szCs w:val="30"/>
        </w:rPr>
        <w:t>年度税制改正要望</w:t>
      </w:r>
    </w:p>
    <w:p w14:paraId="5C26B6FC" w14:textId="77777777" w:rsidR="009E5B6B" w:rsidRDefault="009E5B6B">
      <w:pPr>
        <w:pStyle w:val="a3"/>
        <w:adjustRightInd/>
        <w:snapToGrid w:val="0"/>
        <w:spacing w:line="448" w:lineRule="exact"/>
        <w:rPr>
          <w:rFonts w:hAnsi="Times New Roman" w:cs="Times New Roman"/>
        </w:rPr>
      </w:pPr>
    </w:p>
    <w:p w14:paraId="5446BB76" w14:textId="552AC0B9" w:rsidR="009E5B6B" w:rsidRDefault="00FB4BF7">
      <w:pPr>
        <w:pStyle w:val="a3"/>
        <w:adjustRightInd/>
        <w:ind w:left="7058"/>
        <w:jc w:val="distribute"/>
        <w:rPr>
          <w:rFonts w:hAnsi="Times New Roman" w:cs="Times New Roman"/>
        </w:rPr>
      </w:pPr>
      <w:r>
        <w:rPr>
          <w:rFonts w:hint="eastAsia"/>
        </w:rPr>
        <w:t>令和</w:t>
      </w:r>
      <w:r w:rsidR="002D64A5">
        <w:rPr>
          <w:rFonts w:hint="eastAsia"/>
        </w:rPr>
        <w:t>６</w:t>
      </w:r>
      <w:r>
        <w:rPr>
          <w:rFonts w:hint="eastAsia"/>
        </w:rPr>
        <w:t>年</w:t>
      </w:r>
      <w:r w:rsidR="000403AA">
        <w:rPr>
          <w:rFonts w:hint="eastAsia"/>
        </w:rPr>
        <w:t>１</w:t>
      </w:r>
      <w:r w:rsidR="00F65D5F">
        <w:rPr>
          <w:rFonts w:hint="eastAsia"/>
        </w:rPr>
        <w:t>１</w:t>
      </w:r>
      <w:r>
        <w:rPr>
          <w:rFonts w:hint="eastAsia"/>
        </w:rPr>
        <w:t>月</w:t>
      </w:r>
    </w:p>
    <w:p w14:paraId="765FEC35" w14:textId="3B18819B" w:rsidR="00BC3BDB" w:rsidRPr="00BC3BDB" w:rsidRDefault="00FB4BF7" w:rsidP="00852F1C">
      <w:pPr>
        <w:pStyle w:val="a3"/>
        <w:adjustRightInd/>
        <w:ind w:left="7058"/>
        <w:jc w:val="distribute"/>
        <w:rPr>
          <w:rFonts w:hAnsi="Times New Roman" w:cs="Times New Roman"/>
        </w:rPr>
      </w:pPr>
      <w:r>
        <w:rPr>
          <w:w w:val="50"/>
        </w:rPr>
        <w:t>(</w:t>
      </w:r>
      <w:r>
        <w:rPr>
          <w:rFonts w:hint="eastAsia"/>
          <w:w w:val="50"/>
        </w:rPr>
        <w:t>一社</w:t>
      </w:r>
      <w:r>
        <w:rPr>
          <w:w w:val="50"/>
        </w:rPr>
        <w:t>)</w:t>
      </w:r>
      <w:r>
        <w:rPr>
          <w:rFonts w:hint="eastAsia"/>
        </w:rPr>
        <w:t>全国農業会議所</w:t>
      </w:r>
    </w:p>
    <w:p w14:paraId="3B810CFD" w14:textId="77777777" w:rsidR="00464E2A" w:rsidRDefault="00464E2A">
      <w:pPr>
        <w:pStyle w:val="a3"/>
        <w:adjustRightInd/>
        <w:rPr>
          <w:rFonts w:hAnsi="Times New Roman" w:cs="Times New Roman"/>
        </w:rPr>
      </w:pPr>
    </w:p>
    <w:p w14:paraId="34AA50CD" w14:textId="77777777" w:rsidR="00BC3BDB" w:rsidRDefault="00FB4BF7" w:rsidP="00BC3BDB">
      <w:pPr>
        <w:pStyle w:val="a3"/>
        <w:numPr>
          <w:ilvl w:val="0"/>
          <w:numId w:val="1"/>
        </w:numPr>
        <w:adjustRightInd/>
        <w:spacing w:line="408" w:lineRule="exact"/>
        <w:rPr>
          <w:rFonts w:hAnsi="Times New Roman" w:cs="Times New Roman"/>
        </w:rPr>
      </w:pPr>
      <w:r>
        <w:rPr>
          <w:rFonts w:eastAsia="ＭＳ ゴシック" w:hAnsi="Times New Roman" w:cs="ＭＳ ゴシック" w:hint="eastAsia"/>
        </w:rPr>
        <w:t>国税関係</w:t>
      </w:r>
    </w:p>
    <w:p w14:paraId="58165A95" w14:textId="49C44D88" w:rsidR="00BC3BDB" w:rsidRPr="00BC3BDB" w:rsidRDefault="00FB4BF7" w:rsidP="00BC3BDB">
      <w:pPr>
        <w:pStyle w:val="a3"/>
        <w:numPr>
          <w:ilvl w:val="1"/>
          <w:numId w:val="1"/>
        </w:numPr>
        <w:adjustRightInd/>
        <w:spacing w:line="408" w:lineRule="exact"/>
        <w:rPr>
          <w:rFonts w:hAnsi="Times New Roman" w:cs="Times New Roman"/>
        </w:rPr>
      </w:pPr>
      <w:r w:rsidRPr="00BC3BDB">
        <w:rPr>
          <w:rFonts w:eastAsia="ＭＳ ゴシック" w:hAnsi="Times New Roman" w:cs="ＭＳ ゴシック" w:hint="eastAsia"/>
        </w:rPr>
        <w:t>所得税</w:t>
      </w:r>
    </w:p>
    <w:p w14:paraId="1D246691" w14:textId="77777777" w:rsidR="009E5B6B" w:rsidRDefault="00FB4BF7">
      <w:pPr>
        <w:pStyle w:val="a3"/>
        <w:adjustRightInd/>
        <w:rPr>
          <w:rFonts w:hAnsi="Times New Roman" w:cs="Times New Roman"/>
        </w:rPr>
      </w:pPr>
      <w:r>
        <w:rPr>
          <w:rFonts w:hint="eastAsia"/>
          <w:b/>
          <w:bCs/>
        </w:rPr>
        <w:t>＜拡充・延長＞</w:t>
      </w: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007"/>
      </w:tblGrid>
      <w:tr w:rsidR="009E5B6B" w14:paraId="6F20C673" w14:textId="77777777">
        <w:tc>
          <w:tcPr>
            <w:tcW w:w="9007" w:type="dxa"/>
            <w:tcBorders>
              <w:top w:val="single" w:sz="4" w:space="0" w:color="000000"/>
              <w:left w:val="single" w:sz="4" w:space="0" w:color="000000"/>
              <w:bottom w:val="single" w:sz="4" w:space="0" w:color="000000"/>
              <w:right w:val="single" w:sz="4" w:space="0" w:color="000000"/>
            </w:tcBorders>
          </w:tcPr>
          <w:p w14:paraId="187F8512" w14:textId="5D0C09DF" w:rsidR="009E5B6B" w:rsidRDefault="00FB4BF7" w:rsidP="00BC3BDB">
            <w:pPr>
              <w:pStyle w:val="a3"/>
              <w:numPr>
                <w:ilvl w:val="2"/>
                <w:numId w:val="5"/>
              </w:numPr>
              <w:suppressAutoHyphens/>
              <w:kinsoku w:val="0"/>
              <w:wordWrap w:val="0"/>
              <w:autoSpaceDE w:val="0"/>
              <w:autoSpaceDN w:val="0"/>
              <w:spacing w:line="368" w:lineRule="atLeast"/>
              <w:jc w:val="left"/>
              <w:rPr>
                <w:rFonts w:hAnsi="Times New Roman" w:cs="Times New Roman"/>
              </w:rPr>
            </w:pPr>
            <w:r>
              <w:rPr>
                <w:rFonts w:hint="eastAsia"/>
              </w:rPr>
              <w:t>青色申告特別控除額を引き上げること。</w:t>
            </w:r>
          </w:p>
        </w:tc>
      </w:tr>
    </w:tbl>
    <w:p w14:paraId="576A0B7C" w14:textId="77777777" w:rsidR="009E5B6B" w:rsidRDefault="00FB4BF7">
      <w:pPr>
        <w:pStyle w:val="a3"/>
        <w:adjustRightInd/>
        <w:rPr>
          <w:rFonts w:hAnsi="Times New Roman" w:cs="Times New Roman"/>
        </w:rPr>
      </w:pPr>
      <w:r>
        <w:rPr>
          <w:rFonts w:hint="eastAsia"/>
        </w:rPr>
        <w:t>【理由】</w:t>
      </w:r>
    </w:p>
    <w:p w14:paraId="1A47687E" w14:textId="77777777" w:rsidR="009E5B6B" w:rsidRDefault="00FB4BF7">
      <w:pPr>
        <w:pStyle w:val="a3"/>
        <w:adjustRightInd/>
        <w:ind w:left="240"/>
      </w:pPr>
      <w:r>
        <w:t xml:space="preserve">  </w:t>
      </w:r>
      <w:r>
        <w:rPr>
          <w:rFonts w:hint="eastAsia"/>
        </w:rPr>
        <w:t>農業者の経営管理能力を向上させるためには青色申告の推進が必要であり、これを一層促進させるため、青色申告特別控除額を引き上げる必要がある。</w:t>
      </w:r>
    </w:p>
    <w:p w14:paraId="40807873" w14:textId="77777777" w:rsidR="009E5B6B" w:rsidRPr="008A2960" w:rsidRDefault="009E5B6B">
      <w:pPr>
        <w:pStyle w:val="a3"/>
        <w:adjustRightInd/>
        <w:rPr>
          <w:rFonts w:hAnsi="Times New Roman" w:cs="Times New Roman"/>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007"/>
      </w:tblGrid>
      <w:tr w:rsidR="009E5B6B" w14:paraId="700E2A6F" w14:textId="77777777">
        <w:tc>
          <w:tcPr>
            <w:tcW w:w="9007" w:type="dxa"/>
            <w:tcBorders>
              <w:top w:val="single" w:sz="4" w:space="0" w:color="000000"/>
              <w:left w:val="single" w:sz="4" w:space="0" w:color="000000"/>
              <w:bottom w:val="single" w:sz="4" w:space="0" w:color="000000"/>
              <w:right w:val="single" w:sz="4" w:space="0" w:color="000000"/>
            </w:tcBorders>
          </w:tcPr>
          <w:p w14:paraId="1B99A2FB" w14:textId="1FBBFFBF" w:rsidR="009E5B6B" w:rsidRDefault="00FB4BF7" w:rsidP="00BC3BDB">
            <w:pPr>
              <w:pStyle w:val="a3"/>
              <w:numPr>
                <w:ilvl w:val="2"/>
                <w:numId w:val="5"/>
              </w:numPr>
              <w:suppressAutoHyphens/>
              <w:kinsoku w:val="0"/>
              <w:wordWrap w:val="0"/>
              <w:autoSpaceDE w:val="0"/>
              <w:autoSpaceDN w:val="0"/>
              <w:spacing w:line="368" w:lineRule="atLeast"/>
              <w:jc w:val="left"/>
              <w:rPr>
                <w:rFonts w:hAnsi="Times New Roman" w:cs="Times New Roman"/>
              </w:rPr>
            </w:pPr>
            <w:r>
              <w:rPr>
                <w:rFonts w:hint="eastAsia"/>
              </w:rPr>
              <w:t>青色申告による欠損金の繰越控除期間</w:t>
            </w:r>
            <w:r>
              <w:t>(</w:t>
            </w:r>
            <w:r>
              <w:rPr>
                <w:rFonts w:hint="eastAsia"/>
              </w:rPr>
              <w:t>現行</w:t>
            </w:r>
            <w:r>
              <w:t>3</w:t>
            </w:r>
            <w:r>
              <w:rPr>
                <w:rFonts w:hint="eastAsia"/>
              </w:rPr>
              <w:t>年間</w:t>
            </w:r>
            <w:r>
              <w:t>)</w:t>
            </w:r>
            <w:r>
              <w:rPr>
                <w:rFonts w:hint="eastAsia"/>
              </w:rPr>
              <w:t>を延長すること。</w:t>
            </w:r>
          </w:p>
        </w:tc>
      </w:tr>
    </w:tbl>
    <w:p w14:paraId="6A7EC774" w14:textId="77777777" w:rsidR="009E5B6B" w:rsidRDefault="00FB4BF7">
      <w:pPr>
        <w:pStyle w:val="a3"/>
        <w:adjustRightInd/>
        <w:rPr>
          <w:rFonts w:hAnsi="Times New Roman" w:cs="Times New Roman"/>
        </w:rPr>
      </w:pPr>
      <w:r>
        <w:rPr>
          <w:rFonts w:hint="eastAsia"/>
        </w:rPr>
        <w:t>【理由】</w:t>
      </w:r>
    </w:p>
    <w:p w14:paraId="1CB692F8" w14:textId="77777777" w:rsidR="009E5B6B" w:rsidRDefault="00FB4BF7">
      <w:pPr>
        <w:pStyle w:val="a3"/>
        <w:adjustRightInd/>
        <w:ind w:left="240"/>
      </w:pPr>
      <w:r>
        <w:t xml:space="preserve">  </w:t>
      </w:r>
      <w:r>
        <w:rPr>
          <w:rFonts w:hint="eastAsia"/>
        </w:rPr>
        <w:t>法人については平成</w:t>
      </w:r>
      <w:r>
        <w:t>27</w:t>
      </w:r>
      <w:r>
        <w:rPr>
          <w:rFonts w:hint="eastAsia"/>
        </w:rPr>
        <w:t>年度税制改正で</w:t>
      </w:r>
      <w:r>
        <w:t>29</w:t>
      </w:r>
      <w:r>
        <w:rPr>
          <w:rFonts w:hint="eastAsia"/>
        </w:rPr>
        <w:t>年</w:t>
      </w:r>
      <w:r>
        <w:t>4</w:t>
      </w:r>
      <w:r>
        <w:rPr>
          <w:rFonts w:hint="eastAsia"/>
        </w:rPr>
        <w:t>月より欠損金の繰越期間が</w:t>
      </w:r>
      <w:r>
        <w:t>10</w:t>
      </w:r>
      <w:r>
        <w:rPr>
          <w:rFonts w:hint="eastAsia"/>
        </w:rPr>
        <w:t>年に延長された一方、個人は</w:t>
      </w:r>
      <w:r>
        <w:t>3</w:t>
      </w:r>
      <w:r>
        <w:rPr>
          <w:rFonts w:hint="eastAsia"/>
        </w:rPr>
        <w:t>年のままとなっている。農産物価格の下落により欠損金が生じるケースが増加していること､また､個人と法人の課税の公平性の観点から､青色申告を行う個人農業者についても欠損金の繰越控除期間を延長する必要がある。</w:t>
      </w:r>
    </w:p>
    <w:p w14:paraId="2331082A" w14:textId="77777777" w:rsidR="009E5B6B" w:rsidRDefault="009E5B6B">
      <w:pPr>
        <w:pStyle w:val="a3"/>
        <w:adjustRightInd/>
        <w:rPr>
          <w:rFonts w:hAnsi="Times New Roman" w:cs="Times New Roman"/>
        </w:rPr>
      </w:pPr>
    </w:p>
    <w:tbl>
      <w:tblPr>
        <w:tblW w:w="9007"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007"/>
      </w:tblGrid>
      <w:tr w:rsidR="009E5B6B" w14:paraId="13C516F3" w14:textId="77777777" w:rsidTr="00427F23">
        <w:trPr>
          <w:trHeight w:val="1217"/>
        </w:trPr>
        <w:tc>
          <w:tcPr>
            <w:tcW w:w="9007" w:type="dxa"/>
            <w:tcBorders>
              <w:top w:val="single" w:sz="4" w:space="0" w:color="000000"/>
              <w:left w:val="single" w:sz="4" w:space="0" w:color="000000"/>
              <w:bottom w:val="single" w:sz="4" w:space="0" w:color="auto"/>
              <w:right w:val="single" w:sz="4" w:space="0" w:color="000000"/>
            </w:tcBorders>
          </w:tcPr>
          <w:p w14:paraId="3406B5FD" w14:textId="77777777" w:rsidR="000F334D" w:rsidRPr="000F334D" w:rsidRDefault="000F334D" w:rsidP="00BC3BDB">
            <w:pPr>
              <w:pStyle w:val="a3"/>
              <w:numPr>
                <w:ilvl w:val="2"/>
                <w:numId w:val="5"/>
              </w:numPr>
              <w:suppressAutoHyphens/>
              <w:kinsoku w:val="0"/>
              <w:wordWrap w:val="0"/>
              <w:autoSpaceDE w:val="0"/>
              <w:autoSpaceDN w:val="0"/>
              <w:spacing w:line="368" w:lineRule="atLeast"/>
              <w:jc w:val="left"/>
              <w:rPr>
                <w:rFonts w:hAnsi="Times New Roman" w:cs="Times New Roman"/>
              </w:rPr>
            </w:pPr>
            <w:r w:rsidRPr="000F334D">
              <w:rPr>
                <w:rFonts w:hint="eastAsia"/>
              </w:rPr>
              <w:t>農用地利用集積等促進計画</w:t>
            </w:r>
            <w:r w:rsidR="00FB4BF7">
              <w:rPr>
                <w:rFonts w:hint="eastAsia"/>
              </w:rPr>
              <w:t>及び農業委員会のあっせん等により認定農業者に対して農地等を譲渡した際の譲渡所得の特別控除額を大幅に引き上げること。</w:t>
            </w:r>
          </w:p>
          <w:p w14:paraId="2B130575" w14:textId="0580AA02" w:rsidR="009E5B6B" w:rsidRDefault="00FB4BF7" w:rsidP="000F334D">
            <w:pPr>
              <w:pStyle w:val="a3"/>
              <w:suppressAutoHyphens/>
              <w:kinsoku w:val="0"/>
              <w:wordWrap w:val="0"/>
              <w:autoSpaceDE w:val="0"/>
              <w:autoSpaceDN w:val="0"/>
              <w:spacing w:line="368" w:lineRule="atLeast"/>
              <w:ind w:left="440"/>
              <w:jc w:val="left"/>
              <w:rPr>
                <w:rFonts w:hAnsi="Times New Roman" w:cs="Times New Roman"/>
              </w:rPr>
            </w:pPr>
            <w:r>
              <w:rPr>
                <w:rFonts w:hint="eastAsia"/>
              </w:rPr>
              <w:t>（現行</w:t>
            </w:r>
            <w:r>
              <w:t>800</w:t>
            </w:r>
            <w:r>
              <w:rPr>
                <w:rFonts w:hint="eastAsia"/>
              </w:rPr>
              <w:t>万円→改正</w:t>
            </w:r>
            <w:r>
              <w:t>3,000</w:t>
            </w:r>
            <w:r>
              <w:rPr>
                <w:rFonts w:hint="eastAsia"/>
              </w:rPr>
              <w:t>万円）</w:t>
            </w:r>
          </w:p>
        </w:tc>
      </w:tr>
    </w:tbl>
    <w:p w14:paraId="58B13F78" w14:textId="77777777" w:rsidR="009E5B6B" w:rsidRDefault="00FB4BF7">
      <w:pPr>
        <w:pStyle w:val="a3"/>
        <w:adjustRightInd/>
        <w:rPr>
          <w:rFonts w:hAnsi="Times New Roman" w:cs="Times New Roman"/>
        </w:rPr>
      </w:pPr>
      <w:r>
        <w:rPr>
          <w:rFonts w:hint="eastAsia"/>
        </w:rPr>
        <w:t>【理由】</w:t>
      </w:r>
    </w:p>
    <w:p w14:paraId="27628A81" w14:textId="1A281CB6" w:rsidR="00CA4CE3" w:rsidRDefault="00FB4BF7" w:rsidP="0002582F">
      <w:pPr>
        <w:pStyle w:val="a3"/>
        <w:adjustRightInd/>
        <w:spacing w:line="378" w:lineRule="exact"/>
        <w:ind w:left="240"/>
      </w:pPr>
      <w:r>
        <w:rPr>
          <w:rFonts w:hint="eastAsia"/>
        </w:rPr>
        <w:t xml:space="preserve">　農業経営の基盤を安定させるため、貸借による規模拡大だけでなく、所有権移転による規模拡大をする農業者も多く存在する。所有権による規模拡大、担い手への農地の利用集積を促進するため、譲渡所得税に係る特別控除額の大幅な引き上げが必要である。</w:t>
      </w:r>
      <w:r w:rsidR="00CA4CE3">
        <w:br w:type="page"/>
      </w:r>
    </w:p>
    <w:tbl>
      <w:tblPr>
        <w:tblW w:w="9007"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007"/>
      </w:tblGrid>
      <w:tr w:rsidR="009E5B6B" w14:paraId="77C089C4" w14:textId="77777777" w:rsidTr="00CA4CE3">
        <w:tc>
          <w:tcPr>
            <w:tcW w:w="9007" w:type="dxa"/>
            <w:tcBorders>
              <w:top w:val="single" w:sz="4" w:space="0" w:color="000000"/>
              <w:left w:val="single" w:sz="4" w:space="0" w:color="000000"/>
              <w:bottom w:val="single" w:sz="4" w:space="0" w:color="000000"/>
              <w:right w:val="single" w:sz="4" w:space="0" w:color="000000"/>
            </w:tcBorders>
          </w:tcPr>
          <w:p w14:paraId="68CC114C" w14:textId="3658CFC7" w:rsidR="009E5B6B" w:rsidRDefault="00FB4BF7" w:rsidP="00BC3BDB">
            <w:pPr>
              <w:pStyle w:val="a3"/>
              <w:numPr>
                <w:ilvl w:val="2"/>
                <w:numId w:val="5"/>
              </w:numPr>
              <w:suppressAutoHyphens/>
              <w:kinsoku w:val="0"/>
              <w:wordWrap w:val="0"/>
              <w:autoSpaceDE w:val="0"/>
              <w:autoSpaceDN w:val="0"/>
              <w:spacing w:line="368" w:lineRule="atLeast"/>
              <w:jc w:val="left"/>
              <w:rPr>
                <w:rFonts w:hAnsi="Times New Roman" w:cs="Times New Roman"/>
              </w:rPr>
            </w:pPr>
            <w:r>
              <w:rPr>
                <w:rFonts w:hint="eastAsia"/>
              </w:rPr>
              <w:lastRenderedPageBreak/>
              <w:t>現行の生命保険料</w:t>
            </w:r>
            <w:r>
              <w:t>(</w:t>
            </w:r>
            <w:r>
              <w:rPr>
                <w:rFonts w:hint="eastAsia"/>
              </w:rPr>
              <w:t>共済掛金</w:t>
            </w:r>
            <w:r>
              <w:t>)</w:t>
            </w:r>
            <w:r>
              <w:rPr>
                <w:rFonts w:hint="eastAsia"/>
              </w:rPr>
              <w:t>控除制度を拡充し、</w:t>
            </w:r>
            <w:r w:rsidR="000D669D">
              <w:rPr>
                <w:rFonts w:hint="eastAsia"/>
              </w:rPr>
              <w:t>農家組合等</w:t>
            </w:r>
            <w:r>
              <w:rPr>
                <w:rFonts w:hint="eastAsia"/>
              </w:rPr>
              <w:t>利用者が生活保障の準備ができるよう、自助努力を支援する環境を整備すること。</w:t>
            </w:r>
            <w:r>
              <w:t>(</w:t>
            </w:r>
            <w:r w:rsidR="000D669D">
              <w:rPr>
                <w:rFonts w:hint="eastAsia"/>
              </w:rPr>
              <w:t>一般生命保険料</w:t>
            </w:r>
            <w:r>
              <w:rPr>
                <w:rFonts w:hint="eastAsia"/>
              </w:rPr>
              <w:t>控除限度額</w:t>
            </w:r>
            <w:r>
              <w:t xml:space="preserve"> </w:t>
            </w:r>
            <w:r>
              <w:rPr>
                <w:rFonts w:hint="eastAsia"/>
              </w:rPr>
              <w:t>現行</w:t>
            </w:r>
            <w:r w:rsidR="00BB24EB">
              <w:rPr>
                <w:rFonts w:hint="eastAsia"/>
              </w:rPr>
              <w:t>4</w:t>
            </w:r>
            <w:r>
              <w:rPr>
                <w:rFonts w:hint="eastAsia"/>
              </w:rPr>
              <w:t>万円→改正</w:t>
            </w:r>
            <w:r>
              <w:t xml:space="preserve"> </w:t>
            </w:r>
            <w:r w:rsidR="00BB24EB">
              <w:rPr>
                <w:rFonts w:hint="eastAsia"/>
              </w:rPr>
              <w:t>扶養している子どもがいる場合 6</w:t>
            </w:r>
            <w:r>
              <w:rPr>
                <w:rFonts w:hint="eastAsia"/>
              </w:rPr>
              <w:t>万円</w:t>
            </w:r>
            <w:r>
              <w:t>)</w:t>
            </w:r>
          </w:p>
        </w:tc>
      </w:tr>
    </w:tbl>
    <w:p w14:paraId="2444EE77" w14:textId="77777777" w:rsidR="009E5B6B" w:rsidRDefault="00FB4BF7">
      <w:pPr>
        <w:pStyle w:val="a3"/>
        <w:adjustRightInd/>
        <w:rPr>
          <w:rFonts w:hAnsi="Times New Roman" w:cs="Times New Roman"/>
        </w:rPr>
      </w:pPr>
      <w:r>
        <w:rPr>
          <w:rFonts w:hint="eastAsia"/>
        </w:rPr>
        <w:t>【理由】</w:t>
      </w:r>
    </w:p>
    <w:p w14:paraId="037D1C9B" w14:textId="11B07907" w:rsidR="009E5B6B" w:rsidRDefault="00FB4BF7">
      <w:pPr>
        <w:pStyle w:val="a3"/>
        <w:adjustRightInd/>
        <w:ind w:left="240"/>
      </w:pPr>
      <w:r>
        <w:rPr>
          <w:rFonts w:hint="eastAsia"/>
        </w:rPr>
        <w:t xml:space="preserve">　社会保障制度改革の動きが加速する中、公的保障を補完する自助・共助の仕組みである私的保障の役割の重要性が高まっていることから、生命保険料（共済掛金）控除制度を拡充し、自助努力を支援する環境を整備する必要がある。</w:t>
      </w:r>
    </w:p>
    <w:p w14:paraId="1E8A406A" w14:textId="0EC2D12D" w:rsidR="00BB24EB" w:rsidRDefault="00BB24EB">
      <w:pPr>
        <w:pStyle w:val="a3"/>
        <w:adjustRightInd/>
        <w:ind w:left="240"/>
      </w:pPr>
      <w:r>
        <w:rPr>
          <w:rFonts w:hint="eastAsia"/>
        </w:rPr>
        <w:t xml:space="preserve">　特に、若者や子育て世代が</w:t>
      </w:r>
      <w:r w:rsidR="002A7118">
        <w:rPr>
          <w:rFonts w:hint="eastAsia"/>
        </w:rPr>
        <w:t>私的保障により</w:t>
      </w:r>
      <w:r>
        <w:rPr>
          <w:rFonts w:hint="eastAsia"/>
        </w:rPr>
        <w:t>不自由なく子育て</w:t>
      </w:r>
      <w:r w:rsidR="002A7118">
        <w:rPr>
          <w:rFonts w:hint="eastAsia"/>
        </w:rPr>
        <w:t>できる</w:t>
      </w:r>
      <w:r>
        <w:rPr>
          <w:rFonts w:hint="eastAsia"/>
        </w:rPr>
        <w:t>ように自助のための環境を整備することが</w:t>
      </w:r>
      <w:r w:rsidR="002A7118">
        <w:rPr>
          <w:rFonts w:hint="eastAsia"/>
        </w:rPr>
        <w:t>必要</w:t>
      </w:r>
      <w:r>
        <w:rPr>
          <w:rFonts w:hint="eastAsia"/>
        </w:rPr>
        <w:t>である。</w:t>
      </w:r>
    </w:p>
    <w:p w14:paraId="024A4542" w14:textId="77777777" w:rsidR="00B040F9" w:rsidRDefault="00B040F9">
      <w:pPr>
        <w:pStyle w:val="a3"/>
        <w:adjustRightInd/>
        <w:ind w:left="240"/>
        <w:rPr>
          <w:b/>
          <w:bCs/>
          <w:color w:val="FF0000"/>
        </w:rPr>
      </w:pPr>
    </w:p>
    <w:p w14:paraId="4CCE345C" w14:textId="48109D38" w:rsidR="009E5B6B" w:rsidRDefault="00FB4BF7" w:rsidP="00BC3BDB">
      <w:pPr>
        <w:pStyle w:val="a3"/>
        <w:numPr>
          <w:ilvl w:val="1"/>
          <w:numId w:val="1"/>
        </w:numPr>
        <w:adjustRightInd/>
        <w:spacing w:line="408" w:lineRule="exact"/>
        <w:rPr>
          <w:rFonts w:hAnsi="Times New Roman" w:cs="Times New Roman"/>
        </w:rPr>
      </w:pPr>
      <w:r>
        <w:rPr>
          <w:rFonts w:eastAsia="ＭＳ ゴシック" w:hAnsi="Times New Roman" w:cs="ＭＳ ゴシック" w:hint="eastAsia"/>
        </w:rPr>
        <w:t>法人税</w:t>
      </w:r>
    </w:p>
    <w:p w14:paraId="1DBB9E0B" w14:textId="77777777" w:rsidR="009E5B6B" w:rsidRDefault="00FB4BF7">
      <w:pPr>
        <w:pStyle w:val="a3"/>
        <w:adjustRightInd/>
        <w:rPr>
          <w:rFonts w:hAnsi="Times New Roman" w:cs="Times New Roman"/>
        </w:rPr>
      </w:pPr>
      <w:r>
        <w:rPr>
          <w:rFonts w:hint="eastAsia"/>
          <w:b/>
          <w:bCs/>
        </w:rPr>
        <w:t>＜新規＞</w:t>
      </w: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007"/>
      </w:tblGrid>
      <w:tr w:rsidR="009E5B6B" w14:paraId="4E88F63E" w14:textId="77777777">
        <w:tc>
          <w:tcPr>
            <w:tcW w:w="9007" w:type="dxa"/>
            <w:tcBorders>
              <w:top w:val="single" w:sz="4" w:space="0" w:color="000000"/>
              <w:left w:val="single" w:sz="4" w:space="0" w:color="000000"/>
              <w:bottom w:val="single" w:sz="4" w:space="0" w:color="000000"/>
              <w:right w:val="single" w:sz="4" w:space="0" w:color="000000"/>
            </w:tcBorders>
          </w:tcPr>
          <w:p w14:paraId="41AABFB2" w14:textId="3D464D41" w:rsidR="009E5B6B" w:rsidRDefault="00FB4BF7" w:rsidP="00BC3BDB">
            <w:pPr>
              <w:pStyle w:val="a3"/>
              <w:numPr>
                <w:ilvl w:val="2"/>
                <w:numId w:val="1"/>
              </w:numPr>
              <w:suppressAutoHyphens/>
              <w:kinsoku w:val="0"/>
              <w:wordWrap w:val="0"/>
              <w:autoSpaceDE w:val="0"/>
              <w:autoSpaceDN w:val="0"/>
              <w:spacing w:line="368" w:lineRule="atLeast"/>
              <w:jc w:val="left"/>
              <w:rPr>
                <w:rFonts w:hAnsi="Times New Roman" w:cs="Times New Roman"/>
              </w:rPr>
            </w:pPr>
            <w:r>
              <w:rPr>
                <w:rFonts w:hint="eastAsia"/>
              </w:rPr>
              <w:t>確定給付企業年金制度および確定拠出年金制度等の積立金にかかる特別法人税を廃止すること。</w:t>
            </w:r>
          </w:p>
        </w:tc>
      </w:tr>
    </w:tbl>
    <w:p w14:paraId="775B758C" w14:textId="77777777" w:rsidR="009E5B6B" w:rsidRDefault="00FB4BF7">
      <w:pPr>
        <w:pStyle w:val="a3"/>
        <w:adjustRightInd/>
        <w:rPr>
          <w:rFonts w:hAnsi="Times New Roman" w:cs="Times New Roman"/>
        </w:rPr>
      </w:pPr>
      <w:r>
        <w:rPr>
          <w:rFonts w:hint="eastAsia"/>
        </w:rPr>
        <w:t>【理由】</w:t>
      </w:r>
    </w:p>
    <w:p w14:paraId="0AB97193" w14:textId="77777777" w:rsidR="009E5B6B" w:rsidRDefault="00FB4BF7">
      <w:pPr>
        <w:pStyle w:val="a3"/>
        <w:adjustRightInd/>
        <w:ind w:left="240"/>
      </w:pPr>
      <w:r>
        <w:t xml:space="preserve">  </w:t>
      </w:r>
      <w:r>
        <w:rPr>
          <w:rFonts w:hint="eastAsia"/>
        </w:rPr>
        <w:t>確定給付企業年金契約の積立金に対する特別法人税の課税は、積立金を目減りさせ、事業主の財務悪化や企業年金制度の継続に悪影響を及ぼしかねない。また、確定拠出年金資産管理契約の積立金に対する特別法人税の課税は、将来受け取るべき年金給付額を減少させるため、国民の老後の所得確保に大きな影響を与える。公的年金を補完する手段として、自助努力による確定拠出年金制度を発展させるためにも、これらにかかる特別法人税を廃止する必要がある。同様に、財形給付金共済にかかる特別法人税も廃止する必要がある。</w:t>
      </w:r>
    </w:p>
    <w:p w14:paraId="0746D5AB" w14:textId="77777777" w:rsidR="009E5B6B" w:rsidRDefault="009E5B6B">
      <w:pPr>
        <w:pStyle w:val="a3"/>
        <w:adjustRightInd/>
        <w:rPr>
          <w:rFonts w:hAnsi="Times New Roman" w:cs="Times New Roman"/>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007"/>
      </w:tblGrid>
      <w:tr w:rsidR="009E5B6B" w14:paraId="1673B56B" w14:textId="77777777">
        <w:tc>
          <w:tcPr>
            <w:tcW w:w="9007" w:type="dxa"/>
            <w:tcBorders>
              <w:top w:val="single" w:sz="4" w:space="0" w:color="000000"/>
              <w:left w:val="single" w:sz="4" w:space="0" w:color="000000"/>
              <w:bottom w:val="single" w:sz="4" w:space="0" w:color="000000"/>
              <w:right w:val="single" w:sz="4" w:space="0" w:color="000000"/>
            </w:tcBorders>
          </w:tcPr>
          <w:p w14:paraId="437FBC9D" w14:textId="184F1613" w:rsidR="009E5B6B" w:rsidRDefault="00FB4BF7" w:rsidP="00425D52">
            <w:pPr>
              <w:pStyle w:val="a3"/>
              <w:numPr>
                <w:ilvl w:val="2"/>
                <w:numId w:val="1"/>
              </w:numPr>
              <w:suppressAutoHyphens/>
              <w:kinsoku w:val="0"/>
              <w:wordWrap w:val="0"/>
              <w:autoSpaceDE w:val="0"/>
              <w:autoSpaceDN w:val="0"/>
              <w:spacing w:line="368" w:lineRule="atLeast"/>
              <w:jc w:val="left"/>
              <w:rPr>
                <w:rFonts w:hAnsi="Times New Roman" w:cs="Times New Roman"/>
              </w:rPr>
            </w:pPr>
            <w:r>
              <w:rPr>
                <w:rFonts w:hint="eastAsia"/>
                <w:spacing w:val="2"/>
              </w:rPr>
              <w:t>受</w:t>
            </w:r>
            <w:r>
              <w:rPr>
                <w:rFonts w:hint="eastAsia"/>
              </w:rPr>
              <w:t>取配</w:t>
            </w:r>
            <w:r>
              <w:rPr>
                <w:rFonts w:hint="eastAsia"/>
                <w:spacing w:val="2"/>
              </w:rPr>
              <w:t>当</w:t>
            </w:r>
            <w:r>
              <w:rPr>
                <w:rFonts w:hint="eastAsia"/>
              </w:rPr>
              <w:t>等</w:t>
            </w:r>
            <w:r>
              <w:rPr>
                <w:rFonts w:hint="eastAsia"/>
                <w:spacing w:val="2"/>
              </w:rPr>
              <w:t>の</w:t>
            </w:r>
            <w:r>
              <w:rPr>
                <w:rFonts w:hint="eastAsia"/>
              </w:rPr>
              <w:t>益金</w:t>
            </w:r>
            <w:r>
              <w:rPr>
                <w:rFonts w:hint="eastAsia"/>
                <w:spacing w:val="2"/>
              </w:rPr>
              <w:t>不</w:t>
            </w:r>
            <w:r>
              <w:rPr>
                <w:rFonts w:hint="eastAsia"/>
              </w:rPr>
              <w:t>算</w:t>
            </w:r>
            <w:r>
              <w:rPr>
                <w:rFonts w:hint="eastAsia"/>
                <w:spacing w:val="2"/>
              </w:rPr>
              <w:t>入</w:t>
            </w:r>
            <w:r>
              <w:rPr>
                <w:rFonts w:hint="eastAsia"/>
              </w:rPr>
              <w:t>制度</w:t>
            </w:r>
            <w:r>
              <w:rPr>
                <w:rFonts w:hint="eastAsia"/>
                <w:spacing w:val="2"/>
              </w:rPr>
              <w:t>に</w:t>
            </w:r>
            <w:r>
              <w:rPr>
                <w:rFonts w:hint="eastAsia"/>
              </w:rPr>
              <w:t>つ</w:t>
            </w:r>
            <w:r>
              <w:rPr>
                <w:rFonts w:hint="eastAsia"/>
                <w:spacing w:val="2"/>
              </w:rPr>
              <w:t>い</w:t>
            </w:r>
            <w:r>
              <w:rPr>
                <w:rFonts w:hint="eastAsia"/>
              </w:rPr>
              <w:t>て</w:t>
            </w:r>
            <w:r>
              <w:rPr>
                <w:rFonts w:hint="eastAsia"/>
                <w:spacing w:val="2"/>
              </w:rPr>
              <w:t>、協</w:t>
            </w:r>
            <w:r>
              <w:rPr>
                <w:rFonts w:hint="eastAsia"/>
              </w:rPr>
              <w:t>同</w:t>
            </w:r>
            <w:r>
              <w:rPr>
                <w:rFonts w:hint="eastAsia"/>
                <w:spacing w:val="2"/>
              </w:rPr>
              <w:t>組</w:t>
            </w:r>
            <w:r>
              <w:rPr>
                <w:rFonts w:hint="eastAsia"/>
              </w:rPr>
              <w:t>合等</w:t>
            </w:r>
            <w:r>
              <w:rPr>
                <w:rFonts w:hint="eastAsia"/>
                <w:spacing w:val="2"/>
              </w:rPr>
              <w:t>の</w:t>
            </w:r>
            <w:r>
              <w:rPr>
                <w:rFonts w:hint="eastAsia"/>
              </w:rPr>
              <w:t>事</w:t>
            </w:r>
            <w:r>
              <w:rPr>
                <w:rFonts w:hint="eastAsia"/>
                <w:spacing w:val="2"/>
              </w:rPr>
              <w:t>業</w:t>
            </w:r>
            <w:r>
              <w:rPr>
                <w:rFonts w:hint="eastAsia"/>
              </w:rPr>
              <w:t>特性</w:t>
            </w:r>
            <w:r>
              <w:rPr>
                <w:rFonts w:hint="eastAsia"/>
                <w:spacing w:val="2"/>
              </w:rPr>
              <w:t>を</w:t>
            </w:r>
            <w:r>
              <w:rPr>
                <w:rFonts w:hint="eastAsia"/>
              </w:rPr>
              <w:t>踏</w:t>
            </w:r>
            <w:r>
              <w:rPr>
                <w:rFonts w:hint="eastAsia"/>
                <w:spacing w:val="2"/>
              </w:rPr>
              <w:t>ま</w:t>
            </w:r>
            <w:r>
              <w:rPr>
                <w:rFonts w:hint="eastAsia"/>
              </w:rPr>
              <w:t>えつ</w:t>
            </w:r>
            <w:r>
              <w:rPr>
                <w:rFonts w:hint="eastAsia"/>
                <w:spacing w:val="2"/>
              </w:rPr>
              <w:t>つ</w:t>
            </w:r>
            <w:r>
              <w:rPr>
                <w:rFonts w:hint="eastAsia"/>
              </w:rPr>
              <w:t>、</w:t>
            </w:r>
            <w:r>
              <w:rPr>
                <w:rFonts w:hint="eastAsia"/>
                <w:spacing w:val="2"/>
              </w:rPr>
              <w:t>二</w:t>
            </w:r>
            <w:r>
              <w:rPr>
                <w:rFonts w:hint="eastAsia"/>
              </w:rPr>
              <w:t>重課</w:t>
            </w:r>
            <w:r>
              <w:rPr>
                <w:rFonts w:hint="eastAsia"/>
                <w:spacing w:val="2"/>
              </w:rPr>
              <w:t>税</w:t>
            </w:r>
            <w:r>
              <w:rPr>
                <w:rFonts w:hint="eastAsia"/>
              </w:rPr>
              <w:t>の</w:t>
            </w:r>
            <w:r>
              <w:rPr>
                <w:rFonts w:hint="eastAsia"/>
                <w:spacing w:val="2"/>
              </w:rPr>
              <w:t>排</w:t>
            </w:r>
            <w:r>
              <w:rPr>
                <w:rFonts w:hint="eastAsia"/>
              </w:rPr>
              <w:t>除の</w:t>
            </w:r>
            <w:r>
              <w:rPr>
                <w:rFonts w:hint="eastAsia"/>
                <w:spacing w:val="2"/>
              </w:rPr>
              <w:t>観</w:t>
            </w:r>
            <w:r>
              <w:rPr>
                <w:rFonts w:hint="eastAsia"/>
              </w:rPr>
              <w:t>点</w:t>
            </w:r>
            <w:r>
              <w:rPr>
                <w:rFonts w:hint="eastAsia"/>
                <w:spacing w:val="2"/>
              </w:rPr>
              <w:t>か</w:t>
            </w:r>
            <w:r>
              <w:rPr>
                <w:rFonts w:hint="eastAsia"/>
              </w:rPr>
              <w:t>ら議</w:t>
            </w:r>
            <w:r>
              <w:rPr>
                <w:rFonts w:hint="eastAsia"/>
                <w:spacing w:val="2"/>
              </w:rPr>
              <w:t>論</w:t>
            </w:r>
            <w:r>
              <w:rPr>
                <w:rFonts w:hint="eastAsia"/>
              </w:rPr>
              <w:t>を</w:t>
            </w:r>
            <w:r>
              <w:rPr>
                <w:rFonts w:hint="eastAsia"/>
                <w:spacing w:val="2"/>
              </w:rPr>
              <w:t>行</w:t>
            </w:r>
            <w:r>
              <w:rPr>
                <w:rFonts w:hint="eastAsia"/>
              </w:rPr>
              <w:t>うこ</w:t>
            </w:r>
            <w:r>
              <w:rPr>
                <w:rFonts w:hint="eastAsia"/>
                <w:spacing w:val="2"/>
              </w:rPr>
              <w:t>と</w:t>
            </w:r>
            <w:r>
              <w:rPr>
                <w:rFonts w:hint="eastAsia"/>
              </w:rPr>
              <w:t>。</w:t>
            </w:r>
          </w:p>
        </w:tc>
      </w:tr>
    </w:tbl>
    <w:p w14:paraId="7003904D" w14:textId="77777777" w:rsidR="009E5B6B" w:rsidRDefault="00FB4BF7">
      <w:pPr>
        <w:pStyle w:val="a3"/>
        <w:adjustRightInd/>
        <w:rPr>
          <w:rFonts w:hAnsi="Times New Roman" w:cs="Times New Roman"/>
        </w:rPr>
      </w:pPr>
      <w:r>
        <w:rPr>
          <w:rFonts w:hint="eastAsia"/>
        </w:rPr>
        <w:t>【理由】</w:t>
      </w:r>
    </w:p>
    <w:p w14:paraId="728B02DA" w14:textId="15668810" w:rsidR="00CA4CE3" w:rsidRDefault="00FB4BF7" w:rsidP="00E92F91">
      <w:pPr>
        <w:suppressAutoHyphens w:val="0"/>
        <w:kinsoku/>
        <w:wordWrap/>
        <w:autoSpaceDE/>
        <w:autoSpaceDN/>
        <w:adjustRightInd/>
        <w:ind w:left="228"/>
        <w:jc w:val="both"/>
        <w:rPr>
          <w:color w:val="000000"/>
        </w:rPr>
      </w:pPr>
      <w:r>
        <w:rPr>
          <w:color w:val="000000"/>
        </w:rPr>
        <w:t xml:space="preserve"> </w:t>
      </w:r>
      <w:r>
        <w:rPr>
          <w:rFonts w:hint="eastAsia"/>
          <w:color w:val="000000"/>
        </w:rPr>
        <w:t>「受取配当等の益金不算入制度」は、本来、法人の受け取る配当等について、既に課されている法人税との二重課税の排除を目的として設けられた制度であることに鑑み、受取配当等の益金不算入制度の見直しにあたっては、一般の株式保有とは性格を異にしていること等、協同組合等の事業特性を踏まえつつ、「二重課税の排除」の観点から議論を行う必要がある。</w:t>
      </w:r>
      <w:r w:rsidR="00CA4CE3">
        <w:rPr>
          <w:color w:val="000000"/>
        </w:rPr>
        <w:br w:type="page"/>
      </w:r>
    </w:p>
    <w:p w14:paraId="7EF55981" w14:textId="2D81C089" w:rsidR="009E5B6B" w:rsidRPr="009F24F9" w:rsidRDefault="00FB4BF7" w:rsidP="00425D52">
      <w:pPr>
        <w:pStyle w:val="a5"/>
        <w:numPr>
          <w:ilvl w:val="1"/>
          <w:numId w:val="1"/>
        </w:numPr>
        <w:suppressAutoHyphens w:val="0"/>
        <w:kinsoku/>
        <w:wordWrap/>
        <w:autoSpaceDE/>
        <w:autoSpaceDN/>
        <w:adjustRightInd/>
        <w:ind w:leftChars="0"/>
        <w:jc w:val="both"/>
        <w:rPr>
          <w:color w:val="000000"/>
        </w:rPr>
      </w:pPr>
      <w:r w:rsidRPr="00425D52">
        <w:rPr>
          <w:rFonts w:eastAsia="ＭＳ ゴシック" w:hAnsi="Times New Roman" w:cs="ＭＳ ゴシック" w:hint="eastAsia"/>
        </w:rPr>
        <w:lastRenderedPageBreak/>
        <w:t>所得税・法人税</w:t>
      </w:r>
    </w:p>
    <w:p w14:paraId="067CFA52" w14:textId="77777777" w:rsidR="00620198" w:rsidRDefault="00620198" w:rsidP="00620198">
      <w:pPr>
        <w:pStyle w:val="a3"/>
        <w:adjustRightInd/>
        <w:rPr>
          <w:rFonts w:hAnsi="Times New Roman" w:cs="Times New Roman"/>
        </w:rPr>
      </w:pPr>
      <w:bookmarkStart w:id="0" w:name="_Hlk147231745"/>
      <w:r>
        <w:rPr>
          <w:rFonts w:hint="eastAsia"/>
          <w:b/>
          <w:bCs/>
        </w:rPr>
        <w:t>＜延長＞</w:t>
      </w: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007"/>
      </w:tblGrid>
      <w:tr w:rsidR="00620198" w14:paraId="0C488B6C" w14:textId="77777777" w:rsidTr="00066390">
        <w:tc>
          <w:tcPr>
            <w:tcW w:w="9007" w:type="dxa"/>
            <w:tcBorders>
              <w:top w:val="single" w:sz="4" w:space="0" w:color="000000"/>
              <w:left w:val="single" w:sz="4" w:space="0" w:color="000000"/>
              <w:bottom w:val="single" w:sz="4" w:space="0" w:color="000000"/>
              <w:right w:val="single" w:sz="4" w:space="0" w:color="000000"/>
            </w:tcBorders>
            <w:shd w:val="clear" w:color="auto" w:fill="auto"/>
          </w:tcPr>
          <w:p w14:paraId="039BD50A" w14:textId="77777777" w:rsidR="00620198" w:rsidRDefault="00620198" w:rsidP="00066390">
            <w:pPr>
              <w:pStyle w:val="a3"/>
              <w:suppressAutoHyphens/>
              <w:kinsoku w:val="0"/>
              <w:wordWrap w:val="0"/>
              <w:autoSpaceDE w:val="0"/>
              <w:autoSpaceDN w:val="0"/>
              <w:spacing w:line="368" w:lineRule="atLeast"/>
              <w:ind w:left="358" w:hanging="358"/>
              <w:jc w:val="left"/>
              <w:rPr>
                <w:rFonts w:hAnsi="Times New Roman" w:cs="Times New Roman"/>
              </w:rPr>
            </w:pPr>
            <w:r>
              <w:t>(</w:t>
            </w:r>
            <w:r>
              <w:rPr>
                <w:rFonts w:hint="eastAsia"/>
              </w:rPr>
              <w:t>1</w:t>
            </w:r>
            <w:r>
              <w:t>)</w:t>
            </w:r>
            <w:r>
              <w:rPr>
                <w:rFonts w:hint="eastAsia"/>
              </w:rPr>
              <w:t>農業経営基盤強化準備金制度について、適用期限を延長すること。</w:t>
            </w:r>
          </w:p>
        </w:tc>
      </w:tr>
    </w:tbl>
    <w:p w14:paraId="561956D8" w14:textId="77777777" w:rsidR="00620198" w:rsidRDefault="00620198" w:rsidP="00620198">
      <w:pPr>
        <w:pStyle w:val="a3"/>
        <w:adjustRightInd/>
        <w:rPr>
          <w:rFonts w:hAnsi="Times New Roman" w:cs="Times New Roman"/>
        </w:rPr>
      </w:pPr>
      <w:r>
        <w:rPr>
          <w:rFonts w:hint="eastAsia"/>
        </w:rPr>
        <w:t>【理由】</w:t>
      </w:r>
    </w:p>
    <w:p w14:paraId="2525878B" w14:textId="77777777" w:rsidR="00620198" w:rsidRPr="008A6CCA" w:rsidRDefault="00620198" w:rsidP="00620198">
      <w:pPr>
        <w:pStyle w:val="a3"/>
        <w:adjustRightInd/>
        <w:ind w:left="240"/>
      </w:pPr>
      <w:r>
        <w:rPr>
          <w:rFonts w:hint="eastAsia"/>
        </w:rPr>
        <w:t xml:space="preserve">　農業経営基盤強化準備金制度は、農地や農業機械等の取得を促進し、認定農業者等意欲ある農業者の経営基盤を強化し経営改善・体質強化を図る重要な制度である。現場における制度の活用をさらに推進するため、適用期限を延長すること。</w:t>
      </w:r>
    </w:p>
    <w:p w14:paraId="2BCDA8A1" w14:textId="77777777" w:rsidR="00620198" w:rsidRPr="00522431" w:rsidRDefault="00620198" w:rsidP="00620198">
      <w:pPr>
        <w:pStyle w:val="a3"/>
        <w:adjustRightInd/>
        <w:rPr>
          <w:rFonts w:hAnsi="Times New Roman" w:cs="Times New Roman"/>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007"/>
      </w:tblGrid>
      <w:tr w:rsidR="00620198" w14:paraId="020351C9" w14:textId="77777777" w:rsidTr="00066390">
        <w:tc>
          <w:tcPr>
            <w:tcW w:w="9007" w:type="dxa"/>
            <w:tcBorders>
              <w:top w:val="single" w:sz="4" w:space="0" w:color="000000"/>
              <w:left w:val="single" w:sz="4" w:space="0" w:color="000000"/>
              <w:bottom w:val="single" w:sz="4" w:space="0" w:color="000000"/>
              <w:right w:val="single" w:sz="4" w:space="0" w:color="000000"/>
            </w:tcBorders>
            <w:shd w:val="clear" w:color="auto" w:fill="auto"/>
          </w:tcPr>
          <w:p w14:paraId="0BCAE6C2" w14:textId="77777777" w:rsidR="00620198" w:rsidRDefault="00620198" w:rsidP="00066390">
            <w:pPr>
              <w:pStyle w:val="a3"/>
              <w:suppressAutoHyphens/>
              <w:kinsoku w:val="0"/>
              <w:wordWrap w:val="0"/>
              <w:autoSpaceDE w:val="0"/>
              <w:autoSpaceDN w:val="0"/>
              <w:spacing w:line="368" w:lineRule="atLeast"/>
              <w:ind w:left="358" w:hanging="358"/>
              <w:jc w:val="left"/>
              <w:rPr>
                <w:rFonts w:hAnsi="Times New Roman" w:cs="Times New Roman"/>
              </w:rPr>
            </w:pPr>
            <w:bookmarkStart w:id="1" w:name="_Hlk108602862"/>
            <w:r>
              <w:t>(</w:t>
            </w:r>
            <w:r>
              <w:rPr>
                <w:rFonts w:hint="eastAsia"/>
              </w:rPr>
              <w:t>2</w:t>
            </w:r>
            <w:r>
              <w:t>)</w:t>
            </w:r>
            <w:r>
              <w:rPr>
                <w:rFonts w:hint="eastAsia"/>
              </w:rPr>
              <w:t>中小企業者に該当する農業者等が機械等を取得した場合の特別償却または特別税額控除制度（中小企業投資促進税制）の適用期限を延長するとともに、特定経営力向上設備等を取得した場合の特別償却または特別税額控除制度（中小企業経営強化税制）の適用期限を延長すること。</w:t>
            </w:r>
          </w:p>
        </w:tc>
      </w:tr>
    </w:tbl>
    <w:bookmarkEnd w:id="1"/>
    <w:p w14:paraId="54652D10" w14:textId="77777777" w:rsidR="00620198" w:rsidRDefault="00620198" w:rsidP="00620198">
      <w:pPr>
        <w:pStyle w:val="a3"/>
        <w:adjustRightInd/>
        <w:rPr>
          <w:rFonts w:hAnsi="Times New Roman" w:cs="Times New Roman"/>
        </w:rPr>
      </w:pPr>
      <w:r>
        <w:rPr>
          <w:rFonts w:hint="eastAsia"/>
        </w:rPr>
        <w:t>【理由】</w:t>
      </w:r>
    </w:p>
    <w:p w14:paraId="487E9CA0" w14:textId="49104DDA" w:rsidR="00620198" w:rsidRPr="008A6CCA" w:rsidRDefault="00620198" w:rsidP="00620198">
      <w:pPr>
        <w:pStyle w:val="a3"/>
        <w:adjustRightInd/>
        <w:ind w:leftChars="100" w:left="240" w:firstLineChars="100" w:firstLine="240"/>
      </w:pPr>
      <w:r>
        <w:rPr>
          <w:rFonts w:hint="eastAsia"/>
        </w:rPr>
        <w:t>中小企業投資促進税制（取得価額の</w:t>
      </w:r>
      <w:r>
        <w:t>30</w:t>
      </w:r>
      <w:r>
        <w:rPr>
          <w:rFonts w:hint="eastAsia"/>
        </w:rPr>
        <w:t>％の特別償却または</w:t>
      </w:r>
      <w:r>
        <w:t>7</w:t>
      </w:r>
      <w:r>
        <w:rPr>
          <w:rFonts w:hint="eastAsia"/>
        </w:rPr>
        <w:t>％の税額控除）と中小企業経営強化税制（即時償却または</w:t>
      </w:r>
      <w:r w:rsidR="00BD3728">
        <w:rPr>
          <w:rFonts w:hint="eastAsia"/>
        </w:rPr>
        <w:t>取得価額</w:t>
      </w:r>
      <w:r w:rsidR="00BD3728" w:rsidRPr="00497706">
        <w:rPr>
          <w:rFonts w:hint="eastAsia"/>
          <w:color w:val="auto"/>
        </w:rPr>
        <w:t>の7％（特定中小企業者等にあっては</w:t>
      </w:r>
      <w:r w:rsidRPr="00497706">
        <w:rPr>
          <w:rFonts w:hint="eastAsia"/>
          <w:color w:val="auto"/>
        </w:rPr>
        <w:t>10％</w:t>
      </w:r>
      <w:r w:rsidR="00BD3728" w:rsidRPr="00497706">
        <w:rPr>
          <w:rFonts w:hint="eastAsia"/>
          <w:color w:val="auto"/>
        </w:rPr>
        <w:t>）</w:t>
      </w:r>
      <w:r w:rsidRPr="00497706">
        <w:rPr>
          <w:rFonts w:hint="eastAsia"/>
          <w:color w:val="auto"/>
        </w:rPr>
        <w:t>の税額控除）は、生産現場のニーズも大きいことから、中小企業者である農業者等の設備投資を促進する効果</w:t>
      </w:r>
      <w:r>
        <w:rPr>
          <w:rFonts w:hint="eastAsia"/>
        </w:rPr>
        <w:t>がある同特例について、適用期限を延長する必要がある。</w:t>
      </w:r>
    </w:p>
    <w:bookmarkEnd w:id="0"/>
    <w:p w14:paraId="3BEC54D1" w14:textId="77777777" w:rsidR="00B23DD9" w:rsidRDefault="00B23DD9">
      <w:pPr>
        <w:pStyle w:val="a3"/>
        <w:adjustRightInd/>
        <w:rPr>
          <w:b/>
          <w:bCs/>
          <w:color w:val="FF0000"/>
        </w:rPr>
      </w:pPr>
    </w:p>
    <w:p w14:paraId="6DD08C71" w14:textId="32E9B789" w:rsidR="009E5B6B" w:rsidRPr="000403AA" w:rsidRDefault="00FB4BF7" w:rsidP="00425D52">
      <w:pPr>
        <w:pStyle w:val="a3"/>
        <w:numPr>
          <w:ilvl w:val="1"/>
          <w:numId w:val="1"/>
        </w:numPr>
        <w:adjustRightInd/>
        <w:spacing w:line="408" w:lineRule="exact"/>
        <w:rPr>
          <w:rFonts w:hAnsi="Times New Roman" w:cs="Times New Roman"/>
        </w:rPr>
      </w:pPr>
      <w:r w:rsidRPr="000403AA">
        <w:rPr>
          <w:rFonts w:eastAsia="ＭＳ ゴシック" w:hAnsi="Times New Roman" w:cs="ＭＳ ゴシック" w:hint="eastAsia"/>
        </w:rPr>
        <w:t>相続税・贈与税</w:t>
      </w:r>
    </w:p>
    <w:p w14:paraId="74A8C09C" w14:textId="77777777" w:rsidR="009E5B6B" w:rsidRPr="000403AA" w:rsidRDefault="00FB4BF7">
      <w:pPr>
        <w:pStyle w:val="a3"/>
        <w:adjustRightInd/>
        <w:rPr>
          <w:rFonts w:hAnsi="Times New Roman" w:cs="Times New Roman"/>
        </w:rPr>
      </w:pPr>
      <w:r w:rsidRPr="000403AA">
        <w:rPr>
          <w:rFonts w:hint="eastAsia"/>
          <w:b/>
          <w:bCs/>
        </w:rPr>
        <w:t>＜拡充＞</w:t>
      </w:r>
    </w:p>
    <w:tbl>
      <w:tblPr>
        <w:tblW w:w="893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930"/>
      </w:tblGrid>
      <w:tr w:rsidR="009E5B6B" w:rsidRPr="000403AA" w14:paraId="4BDE4361" w14:textId="77777777" w:rsidTr="000C7DC5">
        <w:tc>
          <w:tcPr>
            <w:tcW w:w="8930" w:type="dxa"/>
            <w:tcBorders>
              <w:top w:val="single" w:sz="4" w:space="0" w:color="000000"/>
              <w:left w:val="single" w:sz="4" w:space="0" w:color="000000"/>
              <w:bottom w:val="single" w:sz="4" w:space="0" w:color="000000"/>
              <w:right w:val="single" w:sz="4" w:space="0" w:color="000000"/>
            </w:tcBorders>
          </w:tcPr>
          <w:p w14:paraId="08F220BA" w14:textId="5257313D" w:rsidR="009E5B6B" w:rsidRPr="000403AA" w:rsidRDefault="00FB4BF7" w:rsidP="00C15982">
            <w:pPr>
              <w:pStyle w:val="a3"/>
              <w:suppressAutoHyphens/>
              <w:kinsoku w:val="0"/>
              <w:wordWrap w:val="0"/>
              <w:autoSpaceDE w:val="0"/>
              <w:autoSpaceDN w:val="0"/>
              <w:spacing w:line="368" w:lineRule="atLeast"/>
              <w:ind w:leftChars="155" w:left="372"/>
              <w:jc w:val="left"/>
              <w:rPr>
                <w:rFonts w:hAnsi="Times New Roman" w:cs="Times New Roman"/>
              </w:rPr>
            </w:pPr>
            <w:r w:rsidRPr="000403AA">
              <w:rPr>
                <w:rFonts w:hint="eastAsia"/>
              </w:rPr>
              <w:t>遺族の生活資金確保のため、死亡共済金の相続税非課税限度額について、「現行限度額（法定相続人数×</w:t>
            </w:r>
            <w:r w:rsidRPr="000403AA">
              <w:t>500</w:t>
            </w:r>
            <w:r w:rsidRPr="000403AA">
              <w:rPr>
                <w:rFonts w:hint="eastAsia"/>
              </w:rPr>
              <w:t>万円）」に、「配偶者分</w:t>
            </w:r>
            <w:r w:rsidRPr="000403AA">
              <w:t>500</w:t>
            </w:r>
            <w:r w:rsidRPr="000403AA">
              <w:rPr>
                <w:rFonts w:hint="eastAsia"/>
              </w:rPr>
              <w:t>万円＋未成年の被扶養法定相続人数×</w:t>
            </w:r>
            <w:r w:rsidRPr="000403AA">
              <w:t>500</w:t>
            </w:r>
            <w:r w:rsidRPr="000403AA">
              <w:rPr>
                <w:rFonts w:hint="eastAsia"/>
              </w:rPr>
              <w:t>万円」を加算すること。</w:t>
            </w:r>
          </w:p>
        </w:tc>
      </w:tr>
    </w:tbl>
    <w:p w14:paraId="28CBC8D7" w14:textId="77777777" w:rsidR="009E5B6B" w:rsidRPr="000403AA" w:rsidRDefault="00FB4BF7">
      <w:pPr>
        <w:pStyle w:val="a3"/>
        <w:adjustRightInd/>
        <w:spacing w:line="408" w:lineRule="exact"/>
        <w:rPr>
          <w:rFonts w:hAnsi="Times New Roman" w:cs="Times New Roman"/>
        </w:rPr>
      </w:pPr>
      <w:r w:rsidRPr="000403AA">
        <w:rPr>
          <w:rFonts w:hint="eastAsia"/>
        </w:rPr>
        <w:t>【理由】</w:t>
      </w:r>
    </w:p>
    <w:p w14:paraId="65091408" w14:textId="42D25F8B" w:rsidR="009E5B6B" w:rsidRDefault="00FB4BF7" w:rsidP="00D26A08">
      <w:pPr>
        <w:pStyle w:val="a3"/>
        <w:adjustRightInd/>
        <w:ind w:left="240"/>
      </w:pPr>
      <w:r w:rsidRPr="000403AA">
        <w:t xml:space="preserve">  </w:t>
      </w:r>
      <w:r w:rsidRPr="000403AA">
        <w:rPr>
          <w:rFonts w:hint="eastAsia"/>
        </w:rPr>
        <w:t>児童のいる世帯において、万が一、主たる家計の支え手が亡くなった場合、母子世帯の家計は非常に厳しい状況になると考えられる。十分な遺族資金を確保するためにも現行の非課税限度額の拡充が必要である。</w:t>
      </w:r>
    </w:p>
    <w:p w14:paraId="1F9BD4DB" w14:textId="77777777" w:rsidR="00194C10" w:rsidRPr="000403AA" w:rsidRDefault="00194C10" w:rsidP="00D26A08">
      <w:pPr>
        <w:pStyle w:val="a3"/>
        <w:adjustRightInd/>
        <w:ind w:left="240"/>
      </w:pPr>
    </w:p>
    <w:p w14:paraId="1BFFEF0A" w14:textId="20166141" w:rsidR="00E731FA" w:rsidRPr="00E731FA" w:rsidRDefault="00FB4BF7" w:rsidP="00D26A08">
      <w:pPr>
        <w:pStyle w:val="a3"/>
        <w:numPr>
          <w:ilvl w:val="1"/>
          <w:numId w:val="1"/>
        </w:numPr>
        <w:adjustRightInd/>
        <w:spacing w:line="408" w:lineRule="exact"/>
        <w:rPr>
          <w:rFonts w:hAnsi="Times New Roman" w:cs="Times New Roman"/>
        </w:rPr>
      </w:pPr>
      <w:r w:rsidRPr="000403AA">
        <w:rPr>
          <w:rFonts w:eastAsia="ＭＳ ゴシック" w:hAnsi="Times New Roman" w:cs="ＭＳ ゴシック" w:hint="eastAsia"/>
        </w:rPr>
        <w:t>登録免許税</w:t>
      </w:r>
    </w:p>
    <w:p w14:paraId="09BAD19E" w14:textId="6A17AED2" w:rsidR="00E731FA" w:rsidRPr="00E731FA" w:rsidRDefault="00E731FA" w:rsidP="00E731FA">
      <w:pPr>
        <w:pStyle w:val="a3"/>
        <w:adjustRightInd/>
        <w:rPr>
          <w:rFonts w:hAnsi="Times New Roman" w:cs="Times New Roman"/>
        </w:rPr>
      </w:pPr>
      <w:r>
        <w:rPr>
          <w:rFonts w:hint="eastAsia"/>
          <w:b/>
          <w:bCs/>
        </w:rPr>
        <w:t>＜延長＞</w:t>
      </w:r>
    </w:p>
    <w:tbl>
      <w:tblPr>
        <w:tblW w:w="9007"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007"/>
      </w:tblGrid>
      <w:tr w:rsidR="00E731FA" w14:paraId="5F04A080" w14:textId="77777777" w:rsidTr="00066390">
        <w:tc>
          <w:tcPr>
            <w:tcW w:w="9007" w:type="dxa"/>
            <w:tcBorders>
              <w:top w:val="single" w:sz="4" w:space="0" w:color="000000"/>
              <w:left w:val="single" w:sz="4" w:space="0" w:color="000000"/>
              <w:bottom w:val="single" w:sz="4" w:space="0" w:color="000000"/>
              <w:right w:val="single" w:sz="4" w:space="0" w:color="000000"/>
            </w:tcBorders>
            <w:shd w:val="clear" w:color="auto" w:fill="auto"/>
          </w:tcPr>
          <w:p w14:paraId="5F085DD5" w14:textId="1200E2F5" w:rsidR="00E731FA" w:rsidRPr="00921403" w:rsidRDefault="00E731FA" w:rsidP="00E731FA">
            <w:pPr>
              <w:pStyle w:val="a3"/>
              <w:suppressAutoHyphens/>
              <w:kinsoku w:val="0"/>
              <w:wordWrap w:val="0"/>
              <w:autoSpaceDE w:val="0"/>
              <w:autoSpaceDN w:val="0"/>
              <w:spacing w:line="368" w:lineRule="atLeast"/>
              <w:ind w:leftChars="100" w:left="240"/>
              <w:jc w:val="left"/>
            </w:pPr>
            <w:r>
              <w:rPr>
                <w:rFonts w:hint="eastAsia"/>
              </w:rPr>
              <w:t>農業信用基金協会</w:t>
            </w:r>
            <w:r w:rsidRPr="00656031">
              <w:rPr>
                <w:rFonts w:cs="ＭＳ ゴシック" w:hint="eastAsia"/>
              </w:rPr>
              <w:t>が受ける抵当権の設定登記等の税率の軽減</w:t>
            </w:r>
            <w:r>
              <w:rPr>
                <w:rFonts w:cs="ＭＳ ゴシック" w:hint="eastAsia"/>
              </w:rPr>
              <w:t>措置</w:t>
            </w:r>
            <w:r w:rsidRPr="00B857CD">
              <w:rPr>
                <w:rFonts w:hint="eastAsia"/>
              </w:rPr>
              <w:t>の</w:t>
            </w:r>
            <w:r>
              <w:rPr>
                <w:rFonts w:hint="eastAsia"/>
              </w:rPr>
              <w:t>適用期限を延長すること。</w:t>
            </w:r>
          </w:p>
        </w:tc>
      </w:tr>
    </w:tbl>
    <w:p w14:paraId="4F8E2C76" w14:textId="77777777" w:rsidR="00E731FA" w:rsidRDefault="00E731FA" w:rsidP="00E731FA">
      <w:pPr>
        <w:pStyle w:val="a3"/>
        <w:adjustRightInd/>
      </w:pPr>
      <w:r>
        <w:rPr>
          <w:rFonts w:hint="eastAsia"/>
        </w:rPr>
        <w:t>【理由】</w:t>
      </w:r>
    </w:p>
    <w:p w14:paraId="1C4C7C2B" w14:textId="77777777" w:rsidR="00E731FA" w:rsidRDefault="00E731FA" w:rsidP="00E731FA">
      <w:pPr>
        <w:pStyle w:val="a3"/>
        <w:adjustRightInd/>
        <w:ind w:leftChars="100" w:left="240" w:firstLineChars="100" w:firstLine="240"/>
      </w:pPr>
      <w:r>
        <w:rPr>
          <w:rFonts w:hint="eastAsia"/>
        </w:rPr>
        <w:t>抵当権の設定登記を伴う借入にかかる農業者の経費負担を軽減することで、資金調達力や信用力を補完することが可能となり、農業経営の改善に貢献することから、</w:t>
      </w:r>
      <w:r w:rsidRPr="00785278">
        <w:rPr>
          <w:rFonts w:hint="eastAsia"/>
        </w:rPr>
        <w:t>適用期限を延長する必要がある。</w:t>
      </w:r>
    </w:p>
    <w:p w14:paraId="58EC5609" w14:textId="1CC30A9E" w:rsidR="009E5B6B" w:rsidRPr="00E92F91" w:rsidRDefault="00FB4BF7" w:rsidP="00425D52">
      <w:pPr>
        <w:pStyle w:val="a3"/>
        <w:numPr>
          <w:ilvl w:val="1"/>
          <w:numId w:val="1"/>
        </w:numPr>
        <w:adjustRightInd/>
        <w:rPr>
          <w:spacing w:val="-4"/>
        </w:rPr>
      </w:pPr>
      <w:r>
        <w:rPr>
          <w:rFonts w:eastAsia="ＭＳ ゴシック" w:hAnsi="Times New Roman" w:cs="ＭＳ ゴシック" w:hint="eastAsia"/>
        </w:rPr>
        <w:lastRenderedPageBreak/>
        <w:t>消費税</w:t>
      </w:r>
    </w:p>
    <w:p w14:paraId="7DAD82F0" w14:textId="77777777" w:rsidR="009E5B6B" w:rsidRDefault="00FB4BF7">
      <w:pPr>
        <w:pStyle w:val="a3"/>
        <w:adjustRightInd/>
        <w:rPr>
          <w:rFonts w:hAnsi="Times New Roman" w:cs="Times New Roman"/>
        </w:rPr>
      </w:pPr>
      <w:r>
        <w:rPr>
          <w:rFonts w:hint="eastAsia"/>
          <w:b/>
          <w:bCs/>
        </w:rPr>
        <w:t>＜新規＞</w:t>
      </w:r>
    </w:p>
    <w:tbl>
      <w:tblPr>
        <w:tblW w:w="898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982"/>
      </w:tblGrid>
      <w:tr w:rsidR="009E5B6B" w14:paraId="04DE79D7" w14:textId="77777777" w:rsidTr="000C7DC5">
        <w:tc>
          <w:tcPr>
            <w:tcW w:w="8982" w:type="dxa"/>
            <w:tcBorders>
              <w:top w:val="single" w:sz="4" w:space="0" w:color="000000"/>
              <w:left w:val="single" w:sz="4" w:space="0" w:color="000000"/>
              <w:bottom w:val="single" w:sz="4" w:space="0" w:color="000000"/>
              <w:right w:val="single" w:sz="4" w:space="0" w:color="000000"/>
            </w:tcBorders>
          </w:tcPr>
          <w:p w14:paraId="04853211" w14:textId="5F7A83F1" w:rsidR="009E5B6B" w:rsidRDefault="00FB4BF7" w:rsidP="00C15982">
            <w:pPr>
              <w:pStyle w:val="a3"/>
              <w:suppressAutoHyphens/>
              <w:kinsoku w:val="0"/>
              <w:autoSpaceDE w:val="0"/>
              <w:autoSpaceDN w:val="0"/>
              <w:spacing w:line="368" w:lineRule="atLeast"/>
              <w:ind w:leftChars="155" w:left="372"/>
              <w:rPr>
                <w:rFonts w:hAnsi="Times New Roman" w:cs="Times New Roman"/>
              </w:rPr>
            </w:pPr>
            <w:r>
              <w:rPr>
                <w:rFonts w:hint="eastAsia"/>
              </w:rPr>
              <w:t>控除対象外となっている「共済代理店に支払う手数料の消費税」および</w:t>
            </w:r>
            <w:bookmarkStart w:id="2" w:name="_Hlk139629728"/>
            <w:r>
              <w:rPr>
                <w:rFonts w:hint="eastAsia"/>
              </w:rPr>
              <w:t>「完全支配関係にある会社との取引にかかる消費税」について</w:t>
            </w:r>
            <w:bookmarkEnd w:id="2"/>
            <w:r>
              <w:rPr>
                <w:rFonts w:hint="eastAsia"/>
              </w:rPr>
              <w:t>、消費税負担を軽減するための措置を講じること。</w:t>
            </w:r>
          </w:p>
        </w:tc>
      </w:tr>
    </w:tbl>
    <w:p w14:paraId="65F4E167" w14:textId="77777777" w:rsidR="009E5B6B" w:rsidRDefault="00FB4BF7">
      <w:pPr>
        <w:pStyle w:val="a3"/>
        <w:adjustRightInd/>
        <w:rPr>
          <w:rFonts w:hAnsi="Times New Roman" w:cs="Times New Roman"/>
        </w:rPr>
      </w:pPr>
      <w:r>
        <w:rPr>
          <w:rFonts w:hint="eastAsia"/>
        </w:rPr>
        <w:t>【理由】</w:t>
      </w:r>
    </w:p>
    <w:p w14:paraId="7E782460" w14:textId="1D2A63E7" w:rsidR="00D26A08" w:rsidRDefault="00FB4BF7">
      <w:pPr>
        <w:pStyle w:val="a3"/>
        <w:adjustRightInd/>
        <w:ind w:left="240"/>
      </w:pPr>
      <w:r>
        <w:rPr>
          <w:rFonts w:hint="eastAsia"/>
        </w:rPr>
        <w:t xml:space="preserve">　共済</w:t>
      </w:r>
      <w:r>
        <w:t>(</w:t>
      </w:r>
      <w:r>
        <w:rPr>
          <w:rFonts w:hint="eastAsia"/>
        </w:rPr>
        <w:t>保険</w:t>
      </w:r>
      <w:r>
        <w:t>)</w:t>
      </w:r>
      <w:r>
        <w:rPr>
          <w:rFonts w:hint="eastAsia"/>
        </w:rPr>
        <w:t>は消費税が非課税となっているが、</w:t>
      </w:r>
      <w:r w:rsidR="00701BC6">
        <w:rPr>
          <w:rFonts w:hint="eastAsia"/>
        </w:rPr>
        <w:t>共済</w:t>
      </w:r>
      <w:r>
        <w:rPr>
          <w:rFonts w:hint="eastAsia"/>
        </w:rPr>
        <w:t>代理店手数料</w:t>
      </w:r>
      <w:r w:rsidR="00497706">
        <w:rPr>
          <w:rFonts w:hint="eastAsia"/>
        </w:rPr>
        <w:t>には消費税が課されている。将来的</w:t>
      </w:r>
      <w:r w:rsidR="00497706" w:rsidRPr="00497706">
        <w:rPr>
          <w:rFonts w:hint="eastAsia"/>
          <w:color w:val="auto"/>
        </w:rPr>
        <w:t>に</w:t>
      </w:r>
      <w:r w:rsidRPr="00497706">
        <w:rPr>
          <w:rFonts w:hint="eastAsia"/>
          <w:color w:val="auto"/>
        </w:rPr>
        <w:t>消費税</w:t>
      </w:r>
      <w:r w:rsidR="00497706" w:rsidRPr="00497706">
        <w:rPr>
          <w:rFonts w:hint="eastAsia"/>
          <w:color w:val="auto"/>
        </w:rPr>
        <w:t>率の引き上げが実施され</w:t>
      </w:r>
      <w:r w:rsidR="00701BC6">
        <w:rPr>
          <w:rFonts w:hint="eastAsia"/>
          <w:color w:val="auto"/>
        </w:rPr>
        <w:t>れば</w:t>
      </w:r>
      <w:r w:rsidR="00497706" w:rsidRPr="00497706">
        <w:rPr>
          <w:rFonts w:hint="eastAsia"/>
          <w:color w:val="auto"/>
        </w:rPr>
        <w:t>、</w:t>
      </w:r>
      <w:r w:rsidRPr="00497706">
        <w:rPr>
          <w:rFonts w:hint="eastAsia"/>
          <w:color w:val="auto"/>
        </w:rPr>
        <w:t>共済</w:t>
      </w:r>
      <w:r>
        <w:rPr>
          <w:rFonts w:hint="eastAsia"/>
        </w:rPr>
        <w:t>代理店展開に支障が出ることが想定され、組合員や地域住民への利便性の確保・提供に悪影響を及ぼすことが懸念される。また、ＪＡ共済では自動車共済に関する損害調査業務等を完全支配関係にある会社に外部委託している一方、内製化した場合には消費税が課せられないことから、消費税負担のみを考えた場合には、業務を内製化した方が外部委託よりも有利な状況になる。このことは、消費税制のあり方によって企業活動が左右され、企業の経済活動に悪影響を与えない税の中立性に対する問題を発生させる懸念があることから、消費税負担の軽減措置を講じる必要がある。</w:t>
      </w:r>
    </w:p>
    <w:p w14:paraId="229CD294" w14:textId="77777777" w:rsidR="003A4651" w:rsidRDefault="003A4651">
      <w:pPr>
        <w:pStyle w:val="a3"/>
        <w:adjustRightInd/>
        <w:ind w:left="240"/>
      </w:pPr>
    </w:p>
    <w:p w14:paraId="0A1A48AD" w14:textId="77777777" w:rsidR="00425D52" w:rsidRDefault="00FB4BF7" w:rsidP="00425D52">
      <w:pPr>
        <w:pStyle w:val="a3"/>
        <w:numPr>
          <w:ilvl w:val="0"/>
          <w:numId w:val="1"/>
        </w:numPr>
        <w:adjustRightInd/>
        <w:rPr>
          <w:rFonts w:hAnsi="Times New Roman" w:cs="Times New Roman"/>
        </w:rPr>
      </w:pPr>
      <w:r>
        <w:rPr>
          <w:rFonts w:eastAsia="ＭＳ ゴシック" w:hAnsi="Times New Roman" w:cs="ＭＳ ゴシック" w:hint="eastAsia"/>
        </w:rPr>
        <w:t>地方税関係</w:t>
      </w:r>
    </w:p>
    <w:p w14:paraId="5BCF08D2" w14:textId="77777777" w:rsidR="007C10B3" w:rsidRPr="007C10B3" w:rsidRDefault="007C10B3" w:rsidP="007C10B3">
      <w:pPr>
        <w:pStyle w:val="a3"/>
        <w:numPr>
          <w:ilvl w:val="1"/>
          <w:numId w:val="1"/>
        </w:numPr>
        <w:adjustRightInd/>
        <w:rPr>
          <w:rFonts w:hAnsi="Times New Roman" w:cs="Times New Roman"/>
        </w:rPr>
      </w:pPr>
      <w:r w:rsidRPr="007C10B3">
        <w:rPr>
          <w:rFonts w:eastAsia="ＭＳ ゴシック" w:hAnsi="Times New Roman" w:cs="ＭＳ ゴシック" w:hint="eastAsia"/>
        </w:rPr>
        <w:t>不動産取得税</w:t>
      </w:r>
    </w:p>
    <w:p w14:paraId="309244C5" w14:textId="77777777" w:rsidR="007C10B3" w:rsidRDefault="007C10B3" w:rsidP="007C10B3">
      <w:pPr>
        <w:pStyle w:val="a3"/>
        <w:adjustRightInd/>
        <w:rPr>
          <w:rFonts w:hAnsi="Times New Roman" w:cs="Times New Roman"/>
        </w:rPr>
      </w:pPr>
      <w:r>
        <w:rPr>
          <w:rFonts w:hint="eastAsia"/>
          <w:b/>
          <w:bCs/>
        </w:rPr>
        <w:t>＜延長＞</w:t>
      </w: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007"/>
      </w:tblGrid>
      <w:tr w:rsidR="007C10B3" w14:paraId="1C3C4A43" w14:textId="77777777" w:rsidTr="00066390">
        <w:tc>
          <w:tcPr>
            <w:tcW w:w="9007" w:type="dxa"/>
            <w:tcBorders>
              <w:top w:val="single" w:sz="4" w:space="0" w:color="000000"/>
              <w:left w:val="single" w:sz="4" w:space="0" w:color="000000"/>
              <w:bottom w:val="single" w:sz="4" w:space="0" w:color="000000"/>
              <w:right w:val="single" w:sz="4" w:space="0" w:color="000000"/>
            </w:tcBorders>
            <w:shd w:val="clear" w:color="auto" w:fill="auto"/>
          </w:tcPr>
          <w:p w14:paraId="7665034B" w14:textId="77777777" w:rsidR="007C10B3" w:rsidRDefault="007C10B3" w:rsidP="00066390">
            <w:pPr>
              <w:pStyle w:val="a3"/>
              <w:suppressAutoHyphens/>
              <w:kinsoku w:val="0"/>
              <w:wordWrap w:val="0"/>
              <w:autoSpaceDE w:val="0"/>
              <w:autoSpaceDN w:val="0"/>
              <w:spacing w:line="368" w:lineRule="atLeast"/>
              <w:ind w:leftChars="100" w:left="240"/>
              <w:jc w:val="left"/>
              <w:rPr>
                <w:rFonts w:hAnsi="Times New Roman" w:cs="Times New Roman"/>
              </w:rPr>
            </w:pPr>
            <w:r w:rsidRPr="000362A1">
              <w:rPr>
                <w:rFonts w:hint="eastAsia"/>
              </w:rPr>
              <w:t>農地中間管理事業の推進に関する法律</w:t>
            </w:r>
            <w:r>
              <w:rPr>
                <w:rFonts w:hint="eastAsia"/>
              </w:rPr>
              <w:t>に基づく農用地利用集積等促進計画により農振農用地区域内の土地を取得した場合の課税標準の特例措置を延長すること。</w:t>
            </w:r>
          </w:p>
        </w:tc>
      </w:tr>
    </w:tbl>
    <w:p w14:paraId="4FF9A31D" w14:textId="77777777" w:rsidR="007C10B3" w:rsidRDefault="007C10B3" w:rsidP="007C10B3">
      <w:pPr>
        <w:pStyle w:val="a3"/>
        <w:adjustRightInd/>
        <w:rPr>
          <w:rFonts w:hAnsi="Times New Roman" w:cs="Times New Roman"/>
        </w:rPr>
      </w:pPr>
      <w:r>
        <w:rPr>
          <w:rFonts w:hint="eastAsia"/>
        </w:rPr>
        <w:t>【理由】</w:t>
      </w:r>
    </w:p>
    <w:p w14:paraId="36D013EE" w14:textId="3331A6FC" w:rsidR="001459A3" w:rsidRDefault="007C10B3" w:rsidP="001459A3">
      <w:pPr>
        <w:pStyle w:val="a3"/>
        <w:adjustRightInd/>
        <w:ind w:left="240"/>
      </w:pPr>
      <w:r>
        <w:t xml:space="preserve">  </w:t>
      </w:r>
      <w:r>
        <w:rPr>
          <w:rFonts w:hint="eastAsia"/>
        </w:rPr>
        <w:t>所有権移転による規模拡大を行う農業者も多く存在しているが、本特例措置は所有権移転による規模拡大を行う農業者にとって数少ないメリットの</w:t>
      </w:r>
      <w:r>
        <w:t>1</w:t>
      </w:r>
      <w:r>
        <w:rPr>
          <w:rFonts w:hint="eastAsia"/>
        </w:rPr>
        <w:t>つであることから、適用期限の延長が必要である。</w:t>
      </w:r>
    </w:p>
    <w:p w14:paraId="5B5C5AD5" w14:textId="77777777" w:rsidR="001459A3" w:rsidRDefault="001459A3" w:rsidP="001459A3">
      <w:pPr>
        <w:pStyle w:val="a3"/>
        <w:adjustRightInd/>
        <w:ind w:left="240"/>
      </w:pPr>
    </w:p>
    <w:p w14:paraId="3730F1CD" w14:textId="37D67019" w:rsidR="001459A3" w:rsidRPr="00D72701" w:rsidRDefault="001459A3" w:rsidP="001459A3">
      <w:pPr>
        <w:pStyle w:val="a3"/>
        <w:numPr>
          <w:ilvl w:val="0"/>
          <w:numId w:val="1"/>
        </w:numPr>
        <w:adjustRightInd/>
        <w:rPr>
          <w:rFonts w:hAnsi="Times New Roman" w:cs="Times New Roman"/>
        </w:rPr>
      </w:pPr>
      <w:r>
        <w:rPr>
          <w:rFonts w:eastAsia="ＭＳ ゴシック" w:hAnsi="Times New Roman" w:cs="ＭＳ ゴシック" w:hint="eastAsia"/>
        </w:rPr>
        <w:t>複数税目</w:t>
      </w:r>
    </w:p>
    <w:p w14:paraId="0F730F77" w14:textId="3A3D0FEE" w:rsidR="00D72701" w:rsidRPr="00D72701" w:rsidRDefault="00D72701" w:rsidP="00D72701">
      <w:pPr>
        <w:pStyle w:val="a3"/>
        <w:adjustRightInd/>
        <w:rPr>
          <w:rFonts w:hAnsi="Times New Roman" w:cs="Times New Roman"/>
        </w:rPr>
      </w:pPr>
      <w:r>
        <w:rPr>
          <w:rFonts w:hint="eastAsia"/>
          <w:b/>
          <w:bCs/>
        </w:rPr>
        <w:t>＜拡充・延長＞</w:t>
      </w: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007"/>
      </w:tblGrid>
      <w:tr w:rsidR="001459A3" w14:paraId="348C18EC" w14:textId="77777777" w:rsidTr="00A41AD7">
        <w:tc>
          <w:tcPr>
            <w:tcW w:w="9007" w:type="dxa"/>
            <w:tcBorders>
              <w:top w:val="single" w:sz="4" w:space="0" w:color="000000"/>
              <w:left w:val="single" w:sz="4" w:space="0" w:color="000000"/>
              <w:bottom w:val="single" w:sz="4" w:space="0" w:color="000000"/>
              <w:right w:val="single" w:sz="4" w:space="0" w:color="000000"/>
            </w:tcBorders>
          </w:tcPr>
          <w:p w14:paraId="6BB9089B" w14:textId="7129102A" w:rsidR="001459A3" w:rsidRDefault="001459A3" w:rsidP="001459A3">
            <w:pPr>
              <w:pStyle w:val="a3"/>
              <w:numPr>
                <w:ilvl w:val="2"/>
                <w:numId w:val="10"/>
              </w:numPr>
              <w:suppressAutoHyphens/>
              <w:kinsoku w:val="0"/>
              <w:wordWrap w:val="0"/>
              <w:autoSpaceDE w:val="0"/>
              <w:autoSpaceDN w:val="0"/>
              <w:spacing w:line="368" w:lineRule="atLeast"/>
              <w:jc w:val="left"/>
              <w:rPr>
                <w:rFonts w:hAnsi="Times New Roman" w:cs="Times New Roman"/>
              </w:rPr>
            </w:pPr>
            <w:r>
              <w:rPr>
                <w:rFonts w:hint="eastAsia"/>
              </w:rPr>
              <w:t>農業経営基盤強化促進法の一部改正に伴い、議決権要件を緩和する特例措置を活用する農地所有適格法人についても、引き続きこれまで適用されていた税制特例の対象とすること。</w:t>
            </w:r>
          </w:p>
        </w:tc>
      </w:tr>
    </w:tbl>
    <w:p w14:paraId="7DA4DDE3" w14:textId="77777777" w:rsidR="001459A3" w:rsidRDefault="001459A3" w:rsidP="001459A3">
      <w:pPr>
        <w:pStyle w:val="a3"/>
        <w:adjustRightInd/>
        <w:rPr>
          <w:rFonts w:hAnsi="Times New Roman" w:cs="Times New Roman"/>
        </w:rPr>
      </w:pPr>
      <w:r>
        <w:rPr>
          <w:rFonts w:hint="eastAsia"/>
        </w:rPr>
        <w:t>【理由】</w:t>
      </w:r>
    </w:p>
    <w:p w14:paraId="38E14A99" w14:textId="55A9D4CB" w:rsidR="001459A3" w:rsidRDefault="001459A3" w:rsidP="001459A3">
      <w:pPr>
        <w:pStyle w:val="a3"/>
        <w:adjustRightInd/>
        <w:ind w:left="240"/>
      </w:pPr>
      <w:r>
        <w:t xml:space="preserve">  </w:t>
      </w:r>
      <w:r>
        <w:rPr>
          <w:rFonts w:hint="eastAsia"/>
        </w:rPr>
        <w:t>現行の農地所有適格法人が対象となっている農業経営基盤強化準備金、</w:t>
      </w:r>
      <w:r w:rsidR="000005B0" w:rsidRPr="000005B0">
        <w:t>肉用牛売却所得の免税制度</w:t>
      </w:r>
      <w:r w:rsidR="000005B0">
        <w:rPr>
          <w:rFonts w:hint="eastAsia"/>
        </w:rPr>
        <w:t>、所得の特別控除（法人税）等の税制特例については、農業経営の基盤強化を図る重要な制度であるため、国から農業経営発展計画の認定を受け、議決権要件の特例の適応を受ける場合でも、引き続き税制上の特例措置の対象とする必要がある。</w:t>
      </w:r>
    </w:p>
    <w:p w14:paraId="23EFA1FA" w14:textId="77777777" w:rsidR="00D91314" w:rsidRPr="001459A3" w:rsidRDefault="00D91314" w:rsidP="00D91314">
      <w:pPr>
        <w:pStyle w:val="a3"/>
        <w:adjustRightInd/>
        <w:rPr>
          <w:rFonts w:hAnsi="Times New Roman" w:cs="Times New Roman"/>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007"/>
      </w:tblGrid>
      <w:tr w:rsidR="00D91314" w14:paraId="329AB1BA" w14:textId="77777777" w:rsidTr="004F4987">
        <w:tc>
          <w:tcPr>
            <w:tcW w:w="9007" w:type="dxa"/>
            <w:tcBorders>
              <w:top w:val="single" w:sz="4" w:space="0" w:color="000000"/>
              <w:left w:val="single" w:sz="4" w:space="0" w:color="000000"/>
              <w:bottom w:val="single" w:sz="4" w:space="0" w:color="000000"/>
              <w:right w:val="single" w:sz="4" w:space="0" w:color="000000"/>
            </w:tcBorders>
          </w:tcPr>
          <w:p w14:paraId="3B25C245" w14:textId="25C43197" w:rsidR="00D91314" w:rsidRDefault="00D91314" w:rsidP="004F4987">
            <w:pPr>
              <w:pStyle w:val="a3"/>
              <w:numPr>
                <w:ilvl w:val="2"/>
                <w:numId w:val="10"/>
              </w:numPr>
              <w:suppressAutoHyphens/>
              <w:kinsoku w:val="0"/>
              <w:wordWrap w:val="0"/>
              <w:autoSpaceDE w:val="0"/>
              <w:autoSpaceDN w:val="0"/>
              <w:spacing w:line="368" w:lineRule="atLeast"/>
              <w:jc w:val="left"/>
              <w:rPr>
                <w:rFonts w:hAnsi="Times New Roman" w:cs="Times New Roman"/>
              </w:rPr>
            </w:pPr>
            <w:r>
              <w:rPr>
                <w:rFonts w:hint="eastAsia"/>
              </w:rPr>
              <w:t>アグリビジネス投資育成株式会社の農業法人への出資制限の見直しに伴い、</w:t>
            </w:r>
            <w:r w:rsidR="00707C83" w:rsidRPr="00707C83">
              <w:t>2分の1</w:t>
            </w:r>
            <w:r w:rsidR="003837B2">
              <w:rPr>
                <w:rFonts w:hint="eastAsia"/>
              </w:rPr>
              <w:t>以上の出資</w:t>
            </w:r>
            <w:r w:rsidR="000F05BA">
              <w:rPr>
                <w:rFonts w:hint="eastAsia"/>
              </w:rPr>
              <w:t>が</w:t>
            </w:r>
            <w:r w:rsidR="003837B2">
              <w:rPr>
                <w:rFonts w:hint="eastAsia"/>
              </w:rPr>
              <w:t>行</w:t>
            </w:r>
            <w:r w:rsidR="000F05BA">
              <w:rPr>
                <w:rFonts w:hint="eastAsia"/>
              </w:rPr>
              <w:t>われた</w:t>
            </w:r>
            <w:r w:rsidR="003837B2">
              <w:rPr>
                <w:rFonts w:hint="eastAsia"/>
              </w:rPr>
              <w:t>場合</w:t>
            </w:r>
            <w:r w:rsidR="000F05BA">
              <w:rPr>
                <w:rFonts w:hint="eastAsia"/>
              </w:rPr>
              <w:t>について</w:t>
            </w:r>
            <w:r w:rsidR="003837B2">
              <w:rPr>
                <w:rFonts w:hint="eastAsia"/>
              </w:rPr>
              <w:t>も、</w:t>
            </w:r>
            <w:r>
              <w:rPr>
                <w:rFonts w:hint="eastAsia"/>
              </w:rPr>
              <w:t>引き続き</w:t>
            </w:r>
            <w:r w:rsidR="003837B2">
              <w:rPr>
                <w:rFonts w:hint="eastAsia"/>
              </w:rPr>
              <w:t>中小企業税制の</w:t>
            </w:r>
            <w:r w:rsidR="0094776C">
              <w:rPr>
                <w:rFonts w:hint="eastAsia"/>
              </w:rPr>
              <w:t>適用の</w:t>
            </w:r>
            <w:r>
              <w:rPr>
                <w:rFonts w:hint="eastAsia"/>
              </w:rPr>
              <w:t>対象とすること。</w:t>
            </w:r>
          </w:p>
        </w:tc>
      </w:tr>
    </w:tbl>
    <w:p w14:paraId="209D1300" w14:textId="77777777" w:rsidR="000F05BA" w:rsidRDefault="00D91314" w:rsidP="000F05BA">
      <w:pPr>
        <w:pStyle w:val="a3"/>
        <w:adjustRightInd/>
        <w:rPr>
          <w:rFonts w:hAnsi="Times New Roman" w:cs="Times New Roman"/>
        </w:rPr>
      </w:pPr>
      <w:r>
        <w:rPr>
          <w:rFonts w:hint="eastAsia"/>
        </w:rPr>
        <w:t>【理由】</w:t>
      </w:r>
    </w:p>
    <w:p w14:paraId="44EEBAFF" w14:textId="4B81E27B" w:rsidR="000F05BA" w:rsidRDefault="000F05BA" w:rsidP="000F05BA">
      <w:pPr>
        <w:pStyle w:val="a3"/>
        <w:adjustRightInd/>
        <w:ind w:left="240"/>
      </w:pPr>
      <w:r>
        <w:t xml:space="preserve">  </w:t>
      </w:r>
      <w:r w:rsidR="00707C83" w:rsidRPr="00707C83">
        <w:rPr>
          <w:rFonts w:hint="eastAsia"/>
        </w:rPr>
        <w:t>中小企業者を支援する税制上の措置について</w:t>
      </w:r>
      <w:r w:rsidR="00707C83">
        <w:rPr>
          <w:rFonts w:hint="eastAsia"/>
        </w:rPr>
        <w:t>は、</w:t>
      </w:r>
      <w:r>
        <w:rPr>
          <w:rFonts w:hint="eastAsia"/>
        </w:rPr>
        <w:t>中小企業者である農業者等の</w:t>
      </w:r>
      <w:r w:rsidRPr="000F05BA">
        <w:rPr>
          <w:rFonts w:hint="eastAsia"/>
        </w:rPr>
        <w:t>成長発展を図る</w:t>
      </w:r>
      <w:r w:rsidR="00707C83">
        <w:rPr>
          <w:rFonts w:hint="eastAsia"/>
        </w:rPr>
        <w:t>重要な制度であるため、</w:t>
      </w:r>
      <w:r w:rsidR="00707C83" w:rsidRPr="00707C83">
        <w:t>アグリビジネス投資育成株式会社</w:t>
      </w:r>
      <w:r w:rsidR="00707C83">
        <w:rPr>
          <w:rFonts w:hint="eastAsia"/>
        </w:rPr>
        <w:t>から</w:t>
      </w:r>
      <w:r w:rsidR="00707C83" w:rsidRPr="00707C83">
        <w:t>2分の1以上の出資が行われた場合</w:t>
      </w:r>
      <w:r>
        <w:rPr>
          <w:rFonts w:hint="eastAsia"/>
        </w:rPr>
        <w:t>でも、引き続き税制上の特例措置の対象とする必要がある。</w:t>
      </w:r>
    </w:p>
    <w:p w14:paraId="6287995D" w14:textId="77777777" w:rsidR="000F05BA" w:rsidRPr="001459A3" w:rsidRDefault="000F05BA" w:rsidP="004A3C10">
      <w:pPr>
        <w:pStyle w:val="a3"/>
        <w:adjustRightInd/>
        <w:rPr>
          <w:rFonts w:hAnsi="Times New Roman" w:cs="Times New Roman"/>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007"/>
      </w:tblGrid>
      <w:tr w:rsidR="004A3C10" w14:paraId="62920A9F" w14:textId="77777777" w:rsidTr="003E3E39">
        <w:tc>
          <w:tcPr>
            <w:tcW w:w="9007" w:type="dxa"/>
            <w:tcBorders>
              <w:top w:val="single" w:sz="4" w:space="0" w:color="000000"/>
              <w:left w:val="single" w:sz="4" w:space="0" w:color="000000"/>
              <w:bottom w:val="single" w:sz="4" w:space="0" w:color="000000"/>
              <w:right w:val="single" w:sz="4" w:space="0" w:color="000000"/>
            </w:tcBorders>
          </w:tcPr>
          <w:p w14:paraId="5A82AF75" w14:textId="194C8917" w:rsidR="004A3C10" w:rsidRPr="00007A7D" w:rsidRDefault="004A3C10" w:rsidP="00007A7D">
            <w:pPr>
              <w:pStyle w:val="a3"/>
              <w:numPr>
                <w:ilvl w:val="2"/>
                <w:numId w:val="10"/>
              </w:numPr>
              <w:suppressAutoHyphens/>
              <w:kinsoku w:val="0"/>
              <w:wordWrap w:val="0"/>
              <w:autoSpaceDE w:val="0"/>
              <w:autoSpaceDN w:val="0"/>
              <w:spacing w:line="368" w:lineRule="atLeast"/>
              <w:jc w:val="left"/>
              <w:rPr>
                <w:rFonts w:hAnsi="Times New Roman" w:cs="Times New Roman"/>
              </w:rPr>
            </w:pPr>
            <w:r>
              <w:rPr>
                <w:rFonts w:hint="eastAsia"/>
              </w:rPr>
              <w:t>農地等を贈与した場合の贈与税の納税猶予等における営農困難時貸付けの対象となる事由に</w:t>
            </w:r>
            <w:r w:rsidR="00007A7D">
              <w:rPr>
                <w:rFonts w:hint="eastAsia"/>
              </w:rPr>
              <w:t>、</w:t>
            </w:r>
            <w:r>
              <w:rPr>
                <w:rFonts w:hint="eastAsia"/>
              </w:rPr>
              <w:t>「介護医療院への入所」を追加すること。</w:t>
            </w:r>
          </w:p>
        </w:tc>
      </w:tr>
    </w:tbl>
    <w:p w14:paraId="17AE5DEA" w14:textId="77777777" w:rsidR="004A3C10" w:rsidRDefault="004A3C10" w:rsidP="004A3C10">
      <w:pPr>
        <w:pStyle w:val="a3"/>
        <w:adjustRightInd/>
        <w:rPr>
          <w:rFonts w:hAnsi="Times New Roman" w:cs="Times New Roman"/>
        </w:rPr>
      </w:pPr>
      <w:r>
        <w:rPr>
          <w:rFonts w:hint="eastAsia"/>
        </w:rPr>
        <w:t>【理由】</w:t>
      </w:r>
    </w:p>
    <w:p w14:paraId="67094A2E" w14:textId="544D36D4" w:rsidR="004A3C10" w:rsidRPr="008A6CCA" w:rsidRDefault="004A3C10" w:rsidP="004A3C10">
      <w:pPr>
        <w:pStyle w:val="a3"/>
        <w:adjustRightInd/>
        <w:ind w:left="240"/>
      </w:pPr>
      <w:r>
        <w:t xml:space="preserve">  </w:t>
      </w:r>
      <w:r>
        <w:rPr>
          <w:rFonts w:hint="eastAsia"/>
        </w:rPr>
        <w:t>「介護療養型医療施設への入所」</w:t>
      </w:r>
      <w:r w:rsidR="004C1A3D">
        <w:rPr>
          <w:rFonts w:hint="eastAsia"/>
        </w:rPr>
        <w:t>は、</w:t>
      </w:r>
      <w:r>
        <w:rPr>
          <w:rFonts w:hint="eastAsia"/>
        </w:rPr>
        <w:t>当該施設が令和５年度末で廃止されたことに伴い</w:t>
      </w:r>
      <w:r w:rsidR="0063587B">
        <w:rPr>
          <w:rFonts w:hint="eastAsia"/>
        </w:rPr>
        <w:t>営農困難時貸付けの</w:t>
      </w:r>
      <w:r w:rsidR="004C1A3D">
        <w:rPr>
          <w:rFonts w:hint="eastAsia"/>
        </w:rPr>
        <w:t>対象となる</w:t>
      </w:r>
      <w:r>
        <w:rPr>
          <w:rFonts w:hint="eastAsia"/>
        </w:rPr>
        <w:t>事由から除外された</w:t>
      </w:r>
      <w:r w:rsidR="004C1A3D">
        <w:rPr>
          <w:rFonts w:hint="eastAsia"/>
        </w:rPr>
        <w:t>が、</w:t>
      </w:r>
      <w:r>
        <w:rPr>
          <w:rFonts w:hint="eastAsia"/>
        </w:rPr>
        <w:t>その移行施設</w:t>
      </w:r>
      <w:r w:rsidR="004C1A3D">
        <w:rPr>
          <w:rFonts w:hint="eastAsia"/>
        </w:rPr>
        <w:t>として創設された</w:t>
      </w:r>
      <w:r>
        <w:rPr>
          <w:rFonts w:hint="eastAsia"/>
        </w:rPr>
        <w:t>「介護医療院</w:t>
      </w:r>
      <w:r w:rsidR="004C1A3D">
        <w:rPr>
          <w:rFonts w:hint="eastAsia"/>
        </w:rPr>
        <w:t>への入所</w:t>
      </w:r>
      <w:r>
        <w:rPr>
          <w:rFonts w:hint="eastAsia"/>
        </w:rPr>
        <w:t>」</w:t>
      </w:r>
      <w:r w:rsidR="004C1A3D">
        <w:rPr>
          <w:rFonts w:hint="eastAsia"/>
        </w:rPr>
        <w:t>を事由に追加する必要がある。</w:t>
      </w:r>
    </w:p>
    <w:sectPr w:rsidR="004A3C10" w:rsidRPr="008A6CCA">
      <w:footerReference w:type="default" r:id="rId8"/>
      <w:type w:val="continuous"/>
      <w:pgSz w:w="11906" w:h="16838"/>
      <w:pgMar w:top="1418" w:right="1360" w:bottom="1418" w:left="1418" w:header="720" w:footer="720" w:gutter="0"/>
      <w:pgNumType w:start="1"/>
      <w:cols w:space="720"/>
      <w:noEndnote/>
      <w:docGrid w:type="linesAndChars" w:linePitch="3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D02D63" w14:textId="77777777" w:rsidR="00A2169C" w:rsidRDefault="00A2169C">
      <w:r>
        <w:separator/>
      </w:r>
    </w:p>
  </w:endnote>
  <w:endnote w:type="continuationSeparator" w:id="0">
    <w:p w14:paraId="5A8A30E0" w14:textId="77777777" w:rsidR="00A2169C" w:rsidRDefault="00A216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457123" w14:textId="77777777" w:rsidR="009E5B6B" w:rsidRDefault="00FB4BF7">
    <w:pPr>
      <w:pStyle w:val="a3"/>
      <w:framePr w:wrap="auto" w:vAnchor="text" w:hAnchor="margin" w:xAlign="center" w:y="1"/>
      <w:adjustRightInd/>
      <w:jc w:val="center"/>
      <w:rPr>
        <w:rFonts w:hAnsi="Times New Roman" w:cs="Times New Roman"/>
      </w:rPr>
    </w:pPr>
    <w:r>
      <w:t xml:space="preserve">- </w:t>
    </w:r>
    <w:r>
      <w:fldChar w:fldCharType="begin"/>
    </w:r>
    <w:r>
      <w:instrText>page \* MERGEFORMAT</w:instrText>
    </w:r>
    <w:r>
      <w:fldChar w:fldCharType="separate"/>
    </w:r>
    <w:r>
      <w:t>1</w:t>
    </w:r>
    <w: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B6E462" w14:textId="77777777" w:rsidR="00A2169C" w:rsidRDefault="00A2169C">
      <w:r>
        <w:rPr>
          <w:rFonts w:hAnsi="Times New Roman" w:cs="Times New Roman"/>
          <w:sz w:val="2"/>
          <w:szCs w:val="2"/>
        </w:rPr>
        <w:continuationSeparator/>
      </w:r>
    </w:p>
  </w:footnote>
  <w:footnote w:type="continuationSeparator" w:id="0">
    <w:p w14:paraId="106DE2C2" w14:textId="77777777" w:rsidR="00A2169C" w:rsidRDefault="00A2169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60186A"/>
    <w:multiLevelType w:val="multilevel"/>
    <w:tmpl w:val="5E9E634E"/>
    <w:lvl w:ilvl="0">
      <w:start w:val="1"/>
      <w:numFmt w:val="upperRoman"/>
      <w:lvlText w:val="%1."/>
      <w:lvlJc w:val="left"/>
      <w:pPr>
        <w:ind w:left="440" w:hanging="440"/>
      </w:pPr>
      <w:rPr>
        <w:rFonts w:ascii="ＭＳ ゴシック" w:eastAsia="ＭＳ ゴシック" w:hAnsi="ＭＳ ゴシック" w:hint="eastAsia"/>
      </w:rPr>
    </w:lvl>
    <w:lvl w:ilvl="1">
      <w:start w:val="1"/>
      <w:numFmt w:val="decimalFullWidth"/>
      <w:lvlText w:val="%2."/>
      <w:lvlJc w:val="left"/>
      <w:pPr>
        <w:ind w:left="442" w:hanging="442"/>
      </w:pPr>
      <w:rPr>
        <w:rFonts w:ascii="ＭＳ ゴシック" w:eastAsia="ＭＳ ゴシック" w:hAnsi="ＭＳ ゴシック" w:hint="eastAsia"/>
      </w:rPr>
    </w:lvl>
    <w:lvl w:ilvl="2">
      <w:start w:val="1"/>
      <w:numFmt w:val="decimal"/>
      <w:lvlText w:val="(%3)"/>
      <w:lvlJc w:val="left"/>
      <w:pPr>
        <w:ind w:left="440" w:hanging="440"/>
      </w:pPr>
      <w:rPr>
        <w:rFonts w:hint="eastAsia"/>
      </w:rPr>
    </w:lvl>
    <w:lvl w:ilvl="3">
      <w:start w:val="1"/>
      <w:numFmt w:val="decimal"/>
      <w:lvlText w:val="%4."/>
      <w:lvlJc w:val="left"/>
      <w:pPr>
        <w:ind w:left="1760" w:hanging="440"/>
      </w:pPr>
      <w:rPr>
        <w:rFonts w:hint="eastAsia"/>
      </w:rPr>
    </w:lvl>
    <w:lvl w:ilvl="4">
      <w:start w:val="1"/>
      <w:numFmt w:val="aiueoFullWidth"/>
      <w:lvlText w:val="(%5)"/>
      <w:lvlJc w:val="left"/>
      <w:pPr>
        <w:ind w:left="2200" w:hanging="440"/>
      </w:pPr>
      <w:rPr>
        <w:rFonts w:hint="eastAsia"/>
      </w:rPr>
    </w:lvl>
    <w:lvl w:ilvl="5">
      <w:start w:val="1"/>
      <w:numFmt w:val="decimalEnclosedCircle"/>
      <w:lvlText w:val="%6"/>
      <w:lvlJc w:val="left"/>
      <w:pPr>
        <w:ind w:left="2640" w:hanging="440"/>
      </w:pPr>
      <w:rPr>
        <w:rFonts w:hint="eastAsia"/>
      </w:rPr>
    </w:lvl>
    <w:lvl w:ilvl="6">
      <w:start w:val="1"/>
      <w:numFmt w:val="decimal"/>
      <w:lvlText w:val="%7."/>
      <w:lvlJc w:val="left"/>
      <w:pPr>
        <w:ind w:left="3080" w:hanging="440"/>
      </w:pPr>
      <w:rPr>
        <w:rFonts w:hint="eastAsia"/>
      </w:rPr>
    </w:lvl>
    <w:lvl w:ilvl="7">
      <w:start w:val="1"/>
      <w:numFmt w:val="aiueoFullWidth"/>
      <w:lvlText w:val="(%8)"/>
      <w:lvlJc w:val="left"/>
      <w:pPr>
        <w:ind w:left="3520" w:hanging="440"/>
      </w:pPr>
      <w:rPr>
        <w:rFonts w:hint="eastAsia"/>
      </w:rPr>
    </w:lvl>
    <w:lvl w:ilvl="8">
      <w:start w:val="1"/>
      <w:numFmt w:val="decimalEnclosedCircle"/>
      <w:lvlText w:val="%9"/>
      <w:lvlJc w:val="left"/>
      <w:pPr>
        <w:ind w:left="3960" w:hanging="440"/>
      </w:pPr>
      <w:rPr>
        <w:rFonts w:hint="eastAsia"/>
      </w:rPr>
    </w:lvl>
  </w:abstractNum>
  <w:abstractNum w:abstractNumId="1" w15:restartNumberingAfterBreak="0">
    <w:nsid w:val="1767716E"/>
    <w:multiLevelType w:val="multilevel"/>
    <w:tmpl w:val="A73660C4"/>
    <w:lvl w:ilvl="0">
      <w:start w:val="1"/>
      <w:numFmt w:val="upperRoman"/>
      <w:lvlText w:val="%1."/>
      <w:lvlJc w:val="left"/>
      <w:pPr>
        <w:ind w:left="440" w:hanging="440"/>
      </w:pPr>
      <w:rPr>
        <w:rFonts w:ascii="ＭＳ ゴシック" w:eastAsia="ＭＳ ゴシック" w:hAnsi="ＭＳ ゴシック" w:hint="eastAsia"/>
      </w:rPr>
    </w:lvl>
    <w:lvl w:ilvl="1">
      <w:start w:val="1"/>
      <w:numFmt w:val="decimalFullWidth"/>
      <w:lvlText w:val="%2."/>
      <w:lvlJc w:val="left"/>
      <w:pPr>
        <w:ind w:left="442" w:hanging="442"/>
      </w:pPr>
      <w:rPr>
        <w:rFonts w:ascii="ＭＳ ゴシック" w:eastAsia="ＭＳ ゴシック" w:hAnsi="ＭＳ ゴシック" w:hint="eastAsia"/>
      </w:rPr>
    </w:lvl>
    <w:lvl w:ilvl="2">
      <w:start w:val="1"/>
      <w:numFmt w:val="decimal"/>
      <w:lvlText w:val="(%3)"/>
      <w:lvlJc w:val="left"/>
      <w:pPr>
        <w:ind w:left="440" w:hanging="440"/>
      </w:pPr>
      <w:rPr>
        <w:rFonts w:ascii="ＭＳ 明朝" w:eastAsia="ＭＳ 明朝" w:hAnsi="ＭＳ 明朝" w:hint="eastAsia"/>
      </w:rPr>
    </w:lvl>
    <w:lvl w:ilvl="3">
      <w:start w:val="1"/>
      <w:numFmt w:val="decimal"/>
      <w:lvlText w:val="%4."/>
      <w:lvlJc w:val="left"/>
      <w:pPr>
        <w:ind w:left="1760" w:hanging="440"/>
      </w:pPr>
      <w:rPr>
        <w:rFonts w:hint="eastAsia"/>
      </w:rPr>
    </w:lvl>
    <w:lvl w:ilvl="4">
      <w:start w:val="1"/>
      <w:numFmt w:val="aiueoFullWidth"/>
      <w:lvlText w:val="(%5)"/>
      <w:lvlJc w:val="left"/>
      <w:pPr>
        <w:ind w:left="2200" w:hanging="440"/>
      </w:pPr>
      <w:rPr>
        <w:rFonts w:hint="eastAsia"/>
      </w:rPr>
    </w:lvl>
    <w:lvl w:ilvl="5">
      <w:start w:val="1"/>
      <w:numFmt w:val="decimalEnclosedCircle"/>
      <w:lvlText w:val="%6"/>
      <w:lvlJc w:val="left"/>
      <w:pPr>
        <w:ind w:left="2640" w:hanging="440"/>
      </w:pPr>
      <w:rPr>
        <w:rFonts w:hint="eastAsia"/>
      </w:rPr>
    </w:lvl>
    <w:lvl w:ilvl="6">
      <w:start w:val="1"/>
      <w:numFmt w:val="decimal"/>
      <w:lvlText w:val="%7."/>
      <w:lvlJc w:val="left"/>
      <w:pPr>
        <w:ind w:left="3080" w:hanging="440"/>
      </w:pPr>
      <w:rPr>
        <w:rFonts w:hint="eastAsia"/>
      </w:rPr>
    </w:lvl>
    <w:lvl w:ilvl="7">
      <w:start w:val="1"/>
      <w:numFmt w:val="aiueoFullWidth"/>
      <w:lvlText w:val="(%8)"/>
      <w:lvlJc w:val="left"/>
      <w:pPr>
        <w:ind w:left="3520" w:hanging="440"/>
      </w:pPr>
      <w:rPr>
        <w:rFonts w:hint="eastAsia"/>
      </w:rPr>
    </w:lvl>
    <w:lvl w:ilvl="8">
      <w:start w:val="1"/>
      <w:numFmt w:val="decimalEnclosedCircle"/>
      <w:lvlText w:val="%9"/>
      <w:lvlJc w:val="left"/>
      <w:pPr>
        <w:ind w:left="3960" w:hanging="440"/>
      </w:pPr>
      <w:rPr>
        <w:rFonts w:hint="eastAsia"/>
      </w:rPr>
    </w:lvl>
  </w:abstractNum>
  <w:abstractNum w:abstractNumId="2" w15:restartNumberingAfterBreak="0">
    <w:nsid w:val="21C658C3"/>
    <w:multiLevelType w:val="multilevel"/>
    <w:tmpl w:val="5E9E634E"/>
    <w:lvl w:ilvl="0">
      <w:start w:val="1"/>
      <w:numFmt w:val="upperRoman"/>
      <w:lvlText w:val="%1."/>
      <w:lvlJc w:val="left"/>
      <w:pPr>
        <w:ind w:left="440" w:hanging="440"/>
      </w:pPr>
      <w:rPr>
        <w:rFonts w:ascii="ＭＳ ゴシック" w:eastAsia="ＭＳ ゴシック" w:hAnsi="ＭＳ ゴシック" w:hint="eastAsia"/>
      </w:rPr>
    </w:lvl>
    <w:lvl w:ilvl="1">
      <w:start w:val="1"/>
      <w:numFmt w:val="decimalFullWidth"/>
      <w:lvlText w:val="%2."/>
      <w:lvlJc w:val="left"/>
      <w:pPr>
        <w:ind w:left="442" w:hanging="442"/>
      </w:pPr>
      <w:rPr>
        <w:rFonts w:ascii="ＭＳ ゴシック" w:eastAsia="ＭＳ ゴシック" w:hAnsi="ＭＳ ゴシック" w:hint="eastAsia"/>
      </w:rPr>
    </w:lvl>
    <w:lvl w:ilvl="2">
      <w:start w:val="1"/>
      <w:numFmt w:val="decimal"/>
      <w:lvlText w:val="(%3)"/>
      <w:lvlJc w:val="left"/>
      <w:pPr>
        <w:ind w:left="440" w:hanging="440"/>
      </w:pPr>
      <w:rPr>
        <w:rFonts w:hint="eastAsia"/>
      </w:rPr>
    </w:lvl>
    <w:lvl w:ilvl="3">
      <w:start w:val="1"/>
      <w:numFmt w:val="decimal"/>
      <w:lvlText w:val="%4."/>
      <w:lvlJc w:val="left"/>
      <w:pPr>
        <w:ind w:left="1760" w:hanging="440"/>
      </w:pPr>
      <w:rPr>
        <w:rFonts w:hint="eastAsia"/>
      </w:rPr>
    </w:lvl>
    <w:lvl w:ilvl="4">
      <w:start w:val="1"/>
      <w:numFmt w:val="aiueoFullWidth"/>
      <w:lvlText w:val="(%5)"/>
      <w:lvlJc w:val="left"/>
      <w:pPr>
        <w:ind w:left="2200" w:hanging="440"/>
      </w:pPr>
      <w:rPr>
        <w:rFonts w:hint="eastAsia"/>
      </w:rPr>
    </w:lvl>
    <w:lvl w:ilvl="5">
      <w:start w:val="1"/>
      <w:numFmt w:val="decimalEnclosedCircle"/>
      <w:lvlText w:val="%6"/>
      <w:lvlJc w:val="left"/>
      <w:pPr>
        <w:ind w:left="2640" w:hanging="440"/>
      </w:pPr>
      <w:rPr>
        <w:rFonts w:hint="eastAsia"/>
      </w:rPr>
    </w:lvl>
    <w:lvl w:ilvl="6">
      <w:start w:val="1"/>
      <w:numFmt w:val="decimal"/>
      <w:lvlText w:val="%7."/>
      <w:lvlJc w:val="left"/>
      <w:pPr>
        <w:ind w:left="3080" w:hanging="440"/>
      </w:pPr>
      <w:rPr>
        <w:rFonts w:hint="eastAsia"/>
      </w:rPr>
    </w:lvl>
    <w:lvl w:ilvl="7">
      <w:start w:val="1"/>
      <w:numFmt w:val="aiueoFullWidth"/>
      <w:lvlText w:val="(%8)"/>
      <w:lvlJc w:val="left"/>
      <w:pPr>
        <w:ind w:left="3520" w:hanging="440"/>
      </w:pPr>
      <w:rPr>
        <w:rFonts w:hint="eastAsia"/>
      </w:rPr>
    </w:lvl>
    <w:lvl w:ilvl="8">
      <w:start w:val="1"/>
      <w:numFmt w:val="decimalEnclosedCircle"/>
      <w:lvlText w:val="%9"/>
      <w:lvlJc w:val="left"/>
      <w:pPr>
        <w:ind w:left="3960" w:hanging="440"/>
      </w:pPr>
      <w:rPr>
        <w:rFonts w:hint="eastAsia"/>
      </w:rPr>
    </w:lvl>
  </w:abstractNum>
  <w:abstractNum w:abstractNumId="3" w15:restartNumberingAfterBreak="0">
    <w:nsid w:val="3057471C"/>
    <w:multiLevelType w:val="hybridMultilevel"/>
    <w:tmpl w:val="6100D7FA"/>
    <w:lvl w:ilvl="0" w:tplc="5C1280FA">
      <w:start w:val="1"/>
      <w:numFmt w:val="decimal"/>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340C65EE"/>
    <w:multiLevelType w:val="hybridMultilevel"/>
    <w:tmpl w:val="E326DB38"/>
    <w:lvl w:ilvl="0" w:tplc="5C1280FA">
      <w:start w:val="1"/>
      <w:numFmt w:val="decimal"/>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36FD5596"/>
    <w:multiLevelType w:val="multilevel"/>
    <w:tmpl w:val="5E9E634E"/>
    <w:lvl w:ilvl="0">
      <w:start w:val="1"/>
      <w:numFmt w:val="upperRoman"/>
      <w:lvlText w:val="%1."/>
      <w:lvlJc w:val="left"/>
      <w:pPr>
        <w:ind w:left="440" w:hanging="440"/>
      </w:pPr>
      <w:rPr>
        <w:rFonts w:ascii="ＭＳ ゴシック" w:eastAsia="ＭＳ ゴシック" w:hAnsi="ＭＳ ゴシック" w:hint="eastAsia"/>
      </w:rPr>
    </w:lvl>
    <w:lvl w:ilvl="1">
      <w:start w:val="1"/>
      <w:numFmt w:val="decimalFullWidth"/>
      <w:lvlText w:val="%2."/>
      <w:lvlJc w:val="left"/>
      <w:pPr>
        <w:ind w:left="442" w:hanging="442"/>
      </w:pPr>
      <w:rPr>
        <w:rFonts w:ascii="ＭＳ ゴシック" w:eastAsia="ＭＳ ゴシック" w:hAnsi="ＭＳ ゴシック" w:hint="eastAsia"/>
      </w:rPr>
    </w:lvl>
    <w:lvl w:ilvl="2">
      <w:start w:val="1"/>
      <w:numFmt w:val="decimal"/>
      <w:lvlText w:val="(%3)"/>
      <w:lvlJc w:val="left"/>
      <w:pPr>
        <w:ind w:left="440" w:hanging="440"/>
      </w:pPr>
      <w:rPr>
        <w:rFonts w:hint="eastAsia"/>
      </w:rPr>
    </w:lvl>
    <w:lvl w:ilvl="3">
      <w:start w:val="1"/>
      <w:numFmt w:val="decimal"/>
      <w:lvlText w:val="%4."/>
      <w:lvlJc w:val="left"/>
      <w:pPr>
        <w:ind w:left="1760" w:hanging="440"/>
      </w:pPr>
      <w:rPr>
        <w:rFonts w:hint="eastAsia"/>
      </w:rPr>
    </w:lvl>
    <w:lvl w:ilvl="4">
      <w:start w:val="1"/>
      <w:numFmt w:val="aiueoFullWidth"/>
      <w:lvlText w:val="(%5)"/>
      <w:lvlJc w:val="left"/>
      <w:pPr>
        <w:ind w:left="2200" w:hanging="440"/>
      </w:pPr>
      <w:rPr>
        <w:rFonts w:hint="eastAsia"/>
      </w:rPr>
    </w:lvl>
    <w:lvl w:ilvl="5">
      <w:start w:val="1"/>
      <w:numFmt w:val="decimalEnclosedCircle"/>
      <w:lvlText w:val="%6"/>
      <w:lvlJc w:val="left"/>
      <w:pPr>
        <w:ind w:left="2640" w:hanging="440"/>
      </w:pPr>
      <w:rPr>
        <w:rFonts w:hint="eastAsia"/>
      </w:rPr>
    </w:lvl>
    <w:lvl w:ilvl="6">
      <w:start w:val="1"/>
      <w:numFmt w:val="decimal"/>
      <w:lvlText w:val="%7."/>
      <w:lvlJc w:val="left"/>
      <w:pPr>
        <w:ind w:left="3080" w:hanging="440"/>
      </w:pPr>
      <w:rPr>
        <w:rFonts w:hint="eastAsia"/>
      </w:rPr>
    </w:lvl>
    <w:lvl w:ilvl="7">
      <w:start w:val="1"/>
      <w:numFmt w:val="aiueoFullWidth"/>
      <w:lvlText w:val="(%8)"/>
      <w:lvlJc w:val="left"/>
      <w:pPr>
        <w:ind w:left="3520" w:hanging="440"/>
      </w:pPr>
      <w:rPr>
        <w:rFonts w:hint="eastAsia"/>
      </w:rPr>
    </w:lvl>
    <w:lvl w:ilvl="8">
      <w:start w:val="1"/>
      <w:numFmt w:val="decimalEnclosedCircle"/>
      <w:lvlText w:val="%9"/>
      <w:lvlJc w:val="left"/>
      <w:pPr>
        <w:ind w:left="3960" w:hanging="440"/>
      </w:pPr>
      <w:rPr>
        <w:rFonts w:hint="eastAsia"/>
      </w:rPr>
    </w:lvl>
  </w:abstractNum>
  <w:abstractNum w:abstractNumId="6" w15:restartNumberingAfterBreak="0">
    <w:nsid w:val="4E223709"/>
    <w:multiLevelType w:val="multilevel"/>
    <w:tmpl w:val="5E9E634E"/>
    <w:lvl w:ilvl="0">
      <w:start w:val="1"/>
      <w:numFmt w:val="upperRoman"/>
      <w:lvlText w:val="%1."/>
      <w:lvlJc w:val="left"/>
      <w:pPr>
        <w:ind w:left="440" w:hanging="440"/>
      </w:pPr>
      <w:rPr>
        <w:rFonts w:ascii="ＭＳ ゴシック" w:eastAsia="ＭＳ ゴシック" w:hAnsi="ＭＳ ゴシック" w:hint="eastAsia"/>
      </w:rPr>
    </w:lvl>
    <w:lvl w:ilvl="1">
      <w:start w:val="1"/>
      <w:numFmt w:val="decimalFullWidth"/>
      <w:lvlText w:val="%2."/>
      <w:lvlJc w:val="left"/>
      <w:pPr>
        <w:ind w:left="442" w:hanging="442"/>
      </w:pPr>
      <w:rPr>
        <w:rFonts w:ascii="ＭＳ ゴシック" w:eastAsia="ＭＳ ゴシック" w:hAnsi="ＭＳ ゴシック" w:hint="eastAsia"/>
      </w:rPr>
    </w:lvl>
    <w:lvl w:ilvl="2">
      <w:start w:val="1"/>
      <w:numFmt w:val="decimal"/>
      <w:lvlText w:val="(%3)"/>
      <w:lvlJc w:val="left"/>
      <w:pPr>
        <w:ind w:left="440" w:hanging="440"/>
      </w:pPr>
      <w:rPr>
        <w:rFonts w:hint="eastAsia"/>
      </w:rPr>
    </w:lvl>
    <w:lvl w:ilvl="3">
      <w:start w:val="1"/>
      <w:numFmt w:val="decimal"/>
      <w:lvlText w:val="%4."/>
      <w:lvlJc w:val="left"/>
      <w:pPr>
        <w:ind w:left="1760" w:hanging="440"/>
      </w:pPr>
      <w:rPr>
        <w:rFonts w:hint="eastAsia"/>
      </w:rPr>
    </w:lvl>
    <w:lvl w:ilvl="4">
      <w:start w:val="1"/>
      <w:numFmt w:val="aiueoFullWidth"/>
      <w:lvlText w:val="(%5)"/>
      <w:lvlJc w:val="left"/>
      <w:pPr>
        <w:ind w:left="2200" w:hanging="440"/>
      </w:pPr>
      <w:rPr>
        <w:rFonts w:hint="eastAsia"/>
      </w:rPr>
    </w:lvl>
    <w:lvl w:ilvl="5">
      <w:start w:val="1"/>
      <w:numFmt w:val="decimalEnclosedCircle"/>
      <w:lvlText w:val="%6"/>
      <w:lvlJc w:val="left"/>
      <w:pPr>
        <w:ind w:left="2640" w:hanging="440"/>
      </w:pPr>
      <w:rPr>
        <w:rFonts w:hint="eastAsia"/>
      </w:rPr>
    </w:lvl>
    <w:lvl w:ilvl="6">
      <w:start w:val="1"/>
      <w:numFmt w:val="decimal"/>
      <w:lvlText w:val="%7."/>
      <w:lvlJc w:val="left"/>
      <w:pPr>
        <w:ind w:left="3080" w:hanging="440"/>
      </w:pPr>
      <w:rPr>
        <w:rFonts w:hint="eastAsia"/>
      </w:rPr>
    </w:lvl>
    <w:lvl w:ilvl="7">
      <w:start w:val="1"/>
      <w:numFmt w:val="aiueoFullWidth"/>
      <w:lvlText w:val="(%8)"/>
      <w:lvlJc w:val="left"/>
      <w:pPr>
        <w:ind w:left="3520" w:hanging="440"/>
      </w:pPr>
      <w:rPr>
        <w:rFonts w:hint="eastAsia"/>
      </w:rPr>
    </w:lvl>
    <w:lvl w:ilvl="8">
      <w:start w:val="1"/>
      <w:numFmt w:val="decimalEnclosedCircle"/>
      <w:lvlText w:val="%9"/>
      <w:lvlJc w:val="left"/>
      <w:pPr>
        <w:ind w:left="3960" w:hanging="440"/>
      </w:pPr>
      <w:rPr>
        <w:rFonts w:hint="eastAsia"/>
      </w:rPr>
    </w:lvl>
  </w:abstractNum>
  <w:abstractNum w:abstractNumId="7" w15:restartNumberingAfterBreak="0">
    <w:nsid w:val="538133AA"/>
    <w:multiLevelType w:val="multilevel"/>
    <w:tmpl w:val="A73660C4"/>
    <w:lvl w:ilvl="0">
      <w:start w:val="1"/>
      <w:numFmt w:val="upperRoman"/>
      <w:lvlText w:val="%1."/>
      <w:lvlJc w:val="left"/>
      <w:pPr>
        <w:ind w:left="440" w:hanging="440"/>
      </w:pPr>
      <w:rPr>
        <w:rFonts w:ascii="ＭＳ ゴシック" w:eastAsia="ＭＳ ゴシック" w:hAnsi="ＭＳ ゴシック" w:hint="eastAsia"/>
      </w:rPr>
    </w:lvl>
    <w:lvl w:ilvl="1">
      <w:start w:val="1"/>
      <w:numFmt w:val="decimalFullWidth"/>
      <w:lvlText w:val="%2."/>
      <w:lvlJc w:val="left"/>
      <w:pPr>
        <w:ind w:left="442" w:hanging="442"/>
      </w:pPr>
      <w:rPr>
        <w:rFonts w:ascii="ＭＳ ゴシック" w:eastAsia="ＭＳ ゴシック" w:hAnsi="ＭＳ ゴシック" w:hint="eastAsia"/>
      </w:rPr>
    </w:lvl>
    <w:lvl w:ilvl="2">
      <w:start w:val="1"/>
      <w:numFmt w:val="decimal"/>
      <w:lvlText w:val="(%3)"/>
      <w:lvlJc w:val="left"/>
      <w:pPr>
        <w:ind w:left="440" w:hanging="440"/>
      </w:pPr>
      <w:rPr>
        <w:rFonts w:ascii="ＭＳ 明朝" w:eastAsia="ＭＳ 明朝" w:hAnsi="ＭＳ 明朝" w:hint="eastAsia"/>
      </w:rPr>
    </w:lvl>
    <w:lvl w:ilvl="3">
      <w:start w:val="1"/>
      <w:numFmt w:val="decimal"/>
      <w:lvlText w:val="%4."/>
      <w:lvlJc w:val="left"/>
      <w:pPr>
        <w:ind w:left="1760" w:hanging="440"/>
      </w:pPr>
      <w:rPr>
        <w:rFonts w:hint="eastAsia"/>
      </w:rPr>
    </w:lvl>
    <w:lvl w:ilvl="4">
      <w:start w:val="1"/>
      <w:numFmt w:val="aiueoFullWidth"/>
      <w:lvlText w:val="(%5)"/>
      <w:lvlJc w:val="left"/>
      <w:pPr>
        <w:ind w:left="2200" w:hanging="440"/>
      </w:pPr>
      <w:rPr>
        <w:rFonts w:hint="eastAsia"/>
      </w:rPr>
    </w:lvl>
    <w:lvl w:ilvl="5">
      <w:start w:val="1"/>
      <w:numFmt w:val="decimalEnclosedCircle"/>
      <w:lvlText w:val="%6"/>
      <w:lvlJc w:val="left"/>
      <w:pPr>
        <w:ind w:left="2640" w:hanging="440"/>
      </w:pPr>
      <w:rPr>
        <w:rFonts w:hint="eastAsia"/>
      </w:rPr>
    </w:lvl>
    <w:lvl w:ilvl="6">
      <w:start w:val="1"/>
      <w:numFmt w:val="decimal"/>
      <w:lvlText w:val="%7."/>
      <w:lvlJc w:val="left"/>
      <w:pPr>
        <w:ind w:left="3080" w:hanging="440"/>
      </w:pPr>
      <w:rPr>
        <w:rFonts w:hint="eastAsia"/>
      </w:rPr>
    </w:lvl>
    <w:lvl w:ilvl="7">
      <w:start w:val="1"/>
      <w:numFmt w:val="aiueoFullWidth"/>
      <w:lvlText w:val="(%8)"/>
      <w:lvlJc w:val="left"/>
      <w:pPr>
        <w:ind w:left="3520" w:hanging="440"/>
      </w:pPr>
      <w:rPr>
        <w:rFonts w:hint="eastAsia"/>
      </w:rPr>
    </w:lvl>
    <w:lvl w:ilvl="8">
      <w:start w:val="1"/>
      <w:numFmt w:val="decimalEnclosedCircle"/>
      <w:lvlText w:val="%9"/>
      <w:lvlJc w:val="left"/>
      <w:pPr>
        <w:ind w:left="3960" w:hanging="440"/>
      </w:pPr>
      <w:rPr>
        <w:rFonts w:hint="eastAsia"/>
      </w:rPr>
    </w:lvl>
  </w:abstractNum>
  <w:abstractNum w:abstractNumId="8" w15:restartNumberingAfterBreak="0">
    <w:nsid w:val="549A6B6F"/>
    <w:multiLevelType w:val="multilevel"/>
    <w:tmpl w:val="83B42CA0"/>
    <w:lvl w:ilvl="0">
      <w:start w:val="1"/>
      <w:numFmt w:val="upperRoman"/>
      <w:suff w:val="space"/>
      <w:lvlText w:val="%1."/>
      <w:lvlJc w:val="left"/>
      <w:pPr>
        <w:ind w:left="440" w:hanging="440"/>
      </w:pPr>
      <w:rPr>
        <w:rFonts w:ascii="ＭＳ ゴシック" w:eastAsia="ＭＳ ゴシック" w:hAnsi="ＭＳ ゴシック" w:hint="eastAsia"/>
      </w:rPr>
    </w:lvl>
    <w:lvl w:ilvl="1">
      <w:start w:val="1"/>
      <w:numFmt w:val="decimalFullWidth"/>
      <w:lvlText w:val="%2."/>
      <w:lvlJc w:val="left"/>
      <w:pPr>
        <w:ind w:left="442" w:hanging="442"/>
      </w:pPr>
      <w:rPr>
        <w:rFonts w:ascii="ＭＳ ゴシック" w:eastAsia="ＭＳ ゴシック" w:hAnsi="ＭＳ ゴシック" w:hint="eastAsia"/>
      </w:rPr>
    </w:lvl>
    <w:lvl w:ilvl="2">
      <w:start w:val="1"/>
      <w:numFmt w:val="decimal"/>
      <w:lvlText w:val="(%3)"/>
      <w:lvlJc w:val="left"/>
      <w:pPr>
        <w:ind w:left="440" w:hanging="440"/>
      </w:pPr>
      <w:rPr>
        <w:rFonts w:hint="eastAsia"/>
        <w:color w:val="auto"/>
      </w:rPr>
    </w:lvl>
    <w:lvl w:ilvl="3">
      <w:start w:val="1"/>
      <w:numFmt w:val="decimal"/>
      <w:lvlText w:val="%4."/>
      <w:lvlJc w:val="left"/>
      <w:pPr>
        <w:ind w:left="1760" w:hanging="440"/>
      </w:pPr>
      <w:rPr>
        <w:rFonts w:hint="eastAsia"/>
      </w:rPr>
    </w:lvl>
    <w:lvl w:ilvl="4">
      <w:start w:val="1"/>
      <w:numFmt w:val="aiueoFullWidth"/>
      <w:lvlText w:val="(%5)"/>
      <w:lvlJc w:val="left"/>
      <w:pPr>
        <w:ind w:left="2200" w:hanging="440"/>
      </w:pPr>
      <w:rPr>
        <w:rFonts w:hint="eastAsia"/>
      </w:rPr>
    </w:lvl>
    <w:lvl w:ilvl="5">
      <w:start w:val="1"/>
      <w:numFmt w:val="decimalEnclosedCircle"/>
      <w:lvlText w:val="%6"/>
      <w:lvlJc w:val="left"/>
      <w:pPr>
        <w:ind w:left="2640" w:hanging="440"/>
      </w:pPr>
      <w:rPr>
        <w:rFonts w:hint="eastAsia"/>
      </w:rPr>
    </w:lvl>
    <w:lvl w:ilvl="6">
      <w:start w:val="1"/>
      <w:numFmt w:val="decimal"/>
      <w:lvlText w:val="%7."/>
      <w:lvlJc w:val="left"/>
      <w:pPr>
        <w:ind w:left="3080" w:hanging="440"/>
      </w:pPr>
      <w:rPr>
        <w:rFonts w:hint="eastAsia"/>
      </w:rPr>
    </w:lvl>
    <w:lvl w:ilvl="7">
      <w:start w:val="1"/>
      <w:numFmt w:val="aiueoFullWidth"/>
      <w:lvlText w:val="(%8)"/>
      <w:lvlJc w:val="left"/>
      <w:pPr>
        <w:ind w:left="3520" w:hanging="440"/>
      </w:pPr>
      <w:rPr>
        <w:rFonts w:hint="eastAsia"/>
      </w:rPr>
    </w:lvl>
    <w:lvl w:ilvl="8">
      <w:start w:val="1"/>
      <w:numFmt w:val="decimalEnclosedCircle"/>
      <w:lvlText w:val="%9"/>
      <w:lvlJc w:val="left"/>
      <w:pPr>
        <w:ind w:left="3960" w:hanging="440"/>
      </w:pPr>
      <w:rPr>
        <w:rFonts w:hint="eastAsia"/>
      </w:rPr>
    </w:lvl>
  </w:abstractNum>
  <w:abstractNum w:abstractNumId="9" w15:restartNumberingAfterBreak="0">
    <w:nsid w:val="59957FC1"/>
    <w:multiLevelType w:val="hybridMultilevel"/>
    <w:tmpl w:val="33EE9D86"/>
    <w:lvl w:ilvl="0" w:tplc="C608D136">
      <w:start w:val="1"/>
      <w:numFmt w:val="decimal"/>
      <w:lvlText w:val="(%1)"/>
      <w:lvlJc w:val="left"/>
      <w:pPr>
        <w:ind w:left="440" w:hanging="440"/>
      </w:pPr>
      <w:rPr>
        <w:rFonts w:hint="eastAsia"/>
        <w:color w:val="000000" w:themeColor="text1"/>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507011408">
    <w:abstractNumId w:val="8"/>
  </w:num>
  <w:num w:numId="2" w16cid:durableId="184946706">
    <w:abstractNumId w:val="4"/>
  </w:num>
  <w:num w:numId="3" w16cid:durableId="971406138">
    <w:abstractNumId w:val="3"/>
  </w:num>
  <w:num w:numId="4" w16cid:durableId="1282999012">
    <w:abstractNumId w:val="0"/>
  </w:num>
  <w:num w:numId="5" w16cid:durableId="688408367">
    <w:abstractNumId w:val="1"/>
  </w:num>
  <w:num w:numId="6" w16cid:durableId="1271862981">
    <w:abstractNumId w:val="5"/>
  </w:num>
  <w:num w:numId="7" w16cid:durableId="1114321511">
    <w:abstractNumId w:val="6"/>
  </w:num>
  <w:num w:numId="8" w16cid:durableId="2015912910">
    <w:abstractNumId w:val="2"/>
  </w:num>
  <w:num w:numId="9" w16cid:durableId="1267274171">
    <w:abstractNumId w:val="9"/>
  </w:num>
  <w:num w:numId="10" w16cid:durableId="134404287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956"/>
  <w:hyphenationZone w:val="0"/>
  <w:drawingGridHorizontalSpacing w:val="1"/>
  <w:drawingGridVerticalSpacing w:val="368"/>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0AC7"/>
    <w:rsid w:val="000005B0"/>
    <w:rsid w:val="00001D26"/>
    <w:rsid w:val="00004D41"/>
    <w:rsid w:val="00007A7D"/>
    <w:rsid w:val="0002582F"/>
    <w:rsid w:val="000403AA"/>
    <w:rsid w:val="0004425B"/>
    <w:rsid w:val="0005114F"/>
    <w:rsid w:val="000546E5"/>
    <w:rsid w:val="00062B41"/>
    <w:rsid w:val="0007047F"/>
    <w:rsid w:val="00085F8A"/>
    <w:rsid w:val="00092FA8"/>
    <w:rsid w:val="00096B9E"/>
    <w:rsid w:val="00097618"/>
    <w:rsid w:val="000C748E"/>
    <w:rsid w:val="000C7DC5"/>
    <w:rsid w:val="000D669D"/>
    <w:rsid w:val="000E7FFE"/>
    <w:rsid w:val="000F056C"/>
    <w:rsid w:val="000F05BA"/>
    <w:rsid w:val="000F334D"/>
    <w:rsid w:val="0011479A"/>
    <w:rsid w:val="00120936"/>
    <w:rsid w:val="00124FD2"/>
    <w:rsid w:val="0014496A"/>
    <w:rsid w:val="001459A3"/>
    <w:rsid w:val="00150915"/>
    <w:rsid w:val="001617D0"/>
    <w:rsid w:val="00163124"/>
    <w:rsid w:val="00184033"/>
    <w:rsid w:val="00187CDE"/>
    <w:rsid w:val="00194C10"/>
    <w:rsid w:val="0019502A"/>
    <w:rsid w:val="00197E1E"/>
    <w:rsid w:val="001A0DA3"/>
    <w:rsid w:val="001C2D32"/>
    <w:rsid w:val="001D0A9F"/>
    <w:rsid w:val="001D1A10"/>
    <w:rsid w:val="001D5311"/>
    <w:rsid w:val="001E2CD7"/>
    <w:rsid w:val="001E72B5"/>
    <w:rsid w:val="002373F1"/>
    <w:rsid w:val="002473F4"/>
    <w:rsid w:val="002544CC"/>
    <w:rsid w:val="00254DDA"/>
    <w:rsid w:val="00280018"/>
    <w:rsid w:val="002805F9"/>
    <w:rsid w:val="00280D54"/>
    <w:rsid w:val="00283730"/>
    <w:rsid w:val="002A7118"/>
    <w:rsid w:val="002D64A5"/>
    <w:rsid w:val="002F1B87"/>
    <w:rsid w:val="00310E7A"/>
    <w:rsid w:val="00321A6B"/>
    <w:rsid w:val="00344EE4"/>
    <w:rsid w:val="00356898"/>
    <w:rsid w:val="00365AEB"/>
    <w:rsid w:val="003837B2"/>
    <w:rsid w:val="00383D79"/>
    <w:rsid w:val="003974D6"/>
    <w:rsid w:val="003A1D3C"/>
    <w:rsid w:val="003A4651"/>
    <w:rsid w:val="003A48A4"/>
    <w:rsid w:val="003B2695"/>
    <w:rsid w:val="003B623D"/>
    <w:rsid w:val="003B62C4"/>
    <w:rsid w:val="003D0A6D"/>
    <w:rsid w:val="003D2772"/>
    <w:rsid w:val="003D7EF9"/>
    <w:rsid w:val="003E10C6"/>
    <w:rsid w:val="004003CD"/>
    <w:rsid w:val="004049B6"/>
    <w:rsid w:val="0041045D"/>
    <w:rsid w:val="00412A32"/>
    <w:rsid w:val="00425D52"/>
    <w:rsid w:val="004276EB"/>
    <w:rsid w:val="00427F23"/>
    <w:rsid w:val="00435046"/>
    <w:rsid w:val="00441670"/>
    <w:rsid w:val="00445D97"/>
    <w:rsid w:val="00464E2A"/>
    <w:rsid w:val="00470241"/>
    <w:rsid w:val="00476479"/>
    <w:rsid w:val="00480506"/>
    <w:rsid w:val="00484D08"/>
    <w:rsid w:val="00497706"/>
    <w:rsid w:val="004A3C10"/>
    <w:rsid w:val="004B2BD6"/>
    <w:rsid w:val="004B6CCC"/>
    <w:rsid w:val="004C1A3D"/>
    <w:rsid w:val="004F3648"/>
    <w:rsid w:val="00504FC4"/>
    <w:rsid w:val="005139CE"/>
    <w:rsid w:val="00523774"/>
    <w:rsid w:val="0052688F"/>
    <w:rsid w:val="005303F9"/>
    <w:rsid w:val="00532115"/>
    <w:rsid w:val="005674F3"/>
    <w:rsid w:val="0057783A"/>
    <w:rsid w:val="005957D1"/>
    <w:rsid w:val="005D0D87"/>
    <w:rsid w:val="00603ABB"/>
    <w:rsid w:val="00607ADA"/>
    <w:rsid w:val="0061440F"/>
    <w:rsid w:val="006178EF"/>
    <w:rsid w:val="00620198"/>
    <w:rsid w:val="00623C46"/>
    <w:rsid w:val="00624A78"/>
    <w:rsid w:val="0063587B"/>
    <w:rsid w:val="0064278E"/>
    <w:rsid w:val="0067151F"/>
    <w:rsid w:val="00673BE3"/>
    <w:rsid w:val="006860A8"/>
    <w:rsid w:val="006A3E9D"/>
    <w:rsid w:val="006C4F0F"/>
    <w:rsid w:val="006D34F9"/>
    <w:rsid w:val="006D50E8"/>
    <w:rsid w:val="006F2AC1"/>
    <w:rsid w:val="006F2D0C"/>
    <w:rsid w:val="00701BC6"/>
    <w:rsid w:val="00707636"/>
    <w:rsid w:val="00707C83"/>
    <w:rsid w:val="00754C02"/>
    <w:rsid w:val="00772811"/>
    <w:rsid w:val="00776351"/>
    <w:rsid w:val="00794FBB"/>
    <w:rsid w:val="007C10B3"/>
    <w:rsid w:val="007E57DA"/>
    <w:rsid w:val="007F3BEE"/>
    <w:rsid w:val="008033F9"/>
    <w:rsid w:val="00803C1B"/>
    <w:rsid w:val="00816B79"/>
    <w:rsid w:val="008364E2"/>
    <w:rsid w:val="00840F62"/>
    <w:rsid w:val="00852F1C"/>
    <w:rsid w:val="00852F2F"/>
    <w:rsid w:val="00855ABD"/>
    <w:rsid w:val="008560F0"/>
    <w:rsid w:val="00856510"/>
    <w:rsid w:val="00861827"/>
    <w:rsid w:val="00892118"/>
    <w:rsid w:val="00894127"/>
    <w:rsid w:val="008A2960"/>
    <w:rsid w:val="008B65FA"/>
    <w:rsid w:val="008C1251"/>
    <w:rsid w:val="008D6EB3"/>
    <w:rsid w:val="008E02EB"/>
    <w:rsid w:val="008F6852"/>
    <w:rsid w:val="00900835"/>
    <w:rsid w:val="009116A9"/>
    <w:rsid w:val="00927456"/>
    <w:rsid w:val="009444A2"/>
    <w:rsid w:val="0094776C"/>
    <w:rsid w:val="00951C1F"/>
    <w:rsid w:val="00965849"/>
    <w:rsid w:val="0096692B"/>
    <w:rsid w:val="00972E6C"/>
    <w:rsid w:val="009A1ABF"/>
    <w:rsid w:val="009C4CFF"/>
    <w:rsid w:val="009E5AE8"/>
    <w:rsid w:val="009E5B6B"/>
    <w:rsid w:val="009E6B77"/>
    <w:rsid w:val="009F24F9"/>
    <w:rsid w:val="009F7B26"/>
    <w:rsid w:val="00A13379"/>
    <w:rsid w:val="00A2169C"/>
    <w:rsid w:val="00A23748"/>
    <w:rsid w:val="00A24659"/>
    <w:rsid w:val="00A3017F"/>
    <w:rsid w:val="00A40AC7"/>
    <w:rsid w:val="00A47180"/>
    <w:rsid w:val="00A50668"/>
    <w:rsid w:val="00A60D02"/>
    <w:rsid w:val="00A64D13"/>
    <w:rsid w:val="00A67D1B"/>
    <w:rsid w:val="00A75ABD"/>
    <w:rsid w:val="00A7742D"/>
    <w:rsid w:val="00A84189"/>
    <w:rsid w:val="00A861A0"/>
    <w:rsid w:val="00A90F65"/>
    <w:rsid w:val="00AB36D3"/>
    <w:rsid w:val="00AB6434"/>
    <w:rsid w:val="00AD3165"/>
    <w:rsid w:val="00AD6FB7"/>
    <w:rsid w:val="00AE3DC8"/>
    <w:rsid w:val="00B040F9"/>
    <w:rsid w:val="00B04D98"/>
    <w:rsid w:val="00B128A0"/>
    <w:rsid w:val="00B23DD9"/>
    <w:rsid w:val="00B339C2"/>
    <w:rsid w:val="00B41BAE"/>
    <w:rsid w:val="00B45491"/>
    <w:rsid w:val="00B50D07"/>
    <w:rsid w:val="00B54692"/>
    <w:rsid w:val="00B669E1"/>
    <w:rsid w:val="00B7064A"/>
    <w:rsid w:val="00B82741"/>
    <w:rsid w:val="00BB24EB"/>
    <w:rsid w:val="00BC3BDB"/>
    <w:rsid w:val="00BD0F84"/>
    <w:rsid w:val="00BD3728"/>
    <w:rsid w:val="00BE723A"/>
    <w:rsid w:val="00C071ED"/>
    <w:rsid w:val="00C141C6"/>
    <w:rsid w:val="00C15982"/>
    <w:rsid w:val="00C20288"/>
    <w:rsid w:val="00C204AB"/>
    <w:rsid w:val="00C21BFE"/>
    <w:rsid w:val="00C22E6E"/>
    <w:rsid w:val="00C30722"/>
    <w:rsid w:val="00C31F8A"/>
    <w:rsid w:val="00C4161A"/>
    <w:rsid w:val="00C468F2"/>
    <w:rsid w:val="00C77408"/>
    <w:rsid w:val="00C82748"/>
    <w:rsid w:val="00C90A4A"/>
    <w:rsid w:val="00C91A55"/>
    <w:rsid w:val="00C927E3"/>
    <w:rsid w:val="00CA4CE3"/>
    <w:rsid w:val="00CB105C"/>
    <w:rsid w:val="00CB6E49"/>
    <w:rsid w:val="00CC7022"/>
    <w:rsid w:val="00CE6356"/>
    <w:rsid w:val="00D04921"/>
    <w:rsid w:val="00D071AF"/>
    <w:rsid w:val="00D22E31"/>
    <w:rsid w:val="00D26A08"/>
    <w:rsid w:val="00D32884"/>
    <w:rsid w:val="00D41509"/>
    <w:rsid w:val="00D62574"/>
    <w:rsid w:val="00D72701"/>
    <w:rsid w:val="00D7328F"/>
    <w:rsid w:val="00D851C7"/>
    <w:rsid w:val="00D8588D"/>
    <w:rsid w:val="00D91314"/>
    <w:rsid w:val="00DC522D"/>
    <w:rsid w:val="00DD758B"/>
    <w:rsid w:val="00DE1AF7"/>
    <w:rsid w:val="00DF7E31"/>
    <w:rsid w:val="00E01D8E"/>
    <w:rsid w:val="00E16815"/>
    <w:rsid w:val="00E2367E"/>
    <w:rsid w:val="00E55940"/>
    <w:rsid w:val="00E600C2"/>
    <w:rsid w:val="00E64190"/>
    <w:rsid w:val="00E6608D"/>
    <w:rsid w:val="00E726E0"/>
    <w:rsid w:val="00E731FA"/>
    <w:rsid w:val="00E8695C"/>
    <w:rsid w:val="00E92F91"/>
    <w:rsid w:val="00E95567"/>
    <w:rsid w:val="00EA06F8"/>
    <w:rsid w:val="00EB6E9C"/>
    <w:rsid w:val="00ED20FE"/>
    <w:rsid w:val="00ED303F"/>
    <w:rsid w:val="00EE01AD"/>
    <w:rsid w:val="00EE6451"/>
    <w:rsid w:val="00F06E19"/>
    <w:rsid w:val="00F17B2E"/>
    <w:rsid w:val="00F23E3B"/>
    <w:rsid w:val="00F64CCF"/>
    <w:rsid w:val="00F65D5F"/>
    <w:rsid w:val="00F70CBB"/>
    <w:rsid w:val="00F71010"/>
    <w:rsid w:val="00F72CC9"/>
    <w:rsid w:val="00F7369A"/>
    <w:rsid w:val="00F861CE"/>
    <w:rsid w:val="00F8773D"/>
    <w:rsid w:val="00F87CEB"/>
    <w:rsid w:val="00F928E1"/>
    <w:rsid w:val="00FA0A2F"/>
    <w:rsid w:val="00FB4BF7"/>
    <w:rsid w:val="00FD40AD"/>
    <w:rsid w:val="00FD71C3"/>
    <w:rsid w:val="00FE1C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6A80F2B0"/>
  <w14:defaultImageDpi w14:val="0"/>
  <w15:docId w15:val="{707E483B-FB13-4598-95FE-E4C8692CEF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kinsoku w:val="0"/>
      <w:wordWrap w:val="0"/>
      <w:overflowPunct w:val="0"/>
      <w:autoSpaceDE w:val="0"/>
      <w:autoSpaceDN w:val="0"/>
      <w:adjustRightInd w:val="0"/>
      <w:textAlignment w:val="baseline"/>
    </w:pPr>
    <w:rPr>
      <w:rFonts w:ascii="ＭＳ 明朝" w:hAnsi="ＭＳ 明朝" w:cs="ＭＳ 明朝"/>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pPr>
      <w:widowControl w:val="0"/>
      <w:overflowPunct w:val="0"/>
      <w:adjustRightInd w:val="0"/>
      <w:jc w:val="both"/>
      <w:textAlignment w:val="baseline"/>
    </w:pPr>
    <w:rPr>
      <w:rFonts w:ascii="ＭＳ 明朝" w:hAnsi="ＭＳ 明朝" w:cs="ＭＳ 明朝"/>
      <w:color w:val="000000"/>
      <w:kern w:val="0"/>
      <w:sz w:val="24"/>
      <w:szCs w:val="24"/>
    </w:rPr>
  </w:style>
  <w:style w:type="table" w:styleId="a4">
    <w:name w:val="Table Grid"/>
    <w:basedOn w:val="a1"/>
    <w:uiPriority w:val="39"/>
    <w:rsid w:val="009669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425D52"/>
    <w:pPr>
      <w:ind w:leftChars="400" w:left="840"/>
    </w:pPr>
  </w:style>
  <w:style w:type="paragraph" w:styleId="a6">
    <w:name w:val="Revision"/>
    <w:hidden/>
    <w:uiPriority w:val="99"/>
    <w:semiHidden/>
    <w:rsid w:val="00163124"/>
    <w:rPr>
      <w:rFonts w:ascii="ＭＳ 明朝" w:hAnsi="ＭＳ 明朝" w:cs="ＭＳ 明朝"/>
      <w:kern w:val="0"/>
      <w:sz w:val="24"/>
      <w:szCs w:val="24"/>
    </w:rPr>
  </w:style>
  <w:style w:type="paragraph" w:styleId="a7">
    <w:name w:val="header"/>
    <w:basedOn w:val="a"/>
    <w:link w:val="a8"/>
    <w:uiPriority w:val="99"/>
    <w:unhideWhenUsed/>
    <w:rsid w:val="00DD758B"/>
    <w:pPr>
      <w:tabs>
        <w:tab w:val="center" w:pos="4252"/>
        <w:tab w:val="right" w:pos="8504"/>
      </w:tabs>
      <w:snapToGrid w:val="0"/>
    </w:pPr>
  </w:style>
  <w:style w:type="character" w:customStyle="1" w:styleId="a8">
    <w:name w:val="ヘッダー (文字)"/>
    <w:basedOn w:val="a0"/>
    <w:link w:val="a7"/>
    <w:uiPriority w:val="99"/>
    <w:rsid w:val="00DD758B"/>
    <w:rPr>
      <w:rFonts w:ascii="ＭＳ 明朝" w:hAnsi="ＭＳ 明朝" w:cs="ＭＳ 明朝"/>
      <w:kern w:val="0"/>
      <w:sz w:val="24"/>
      <w:szCs w:val="24"/>
    </w:rPr>
  </w:style>
  <w:style w:type="paragraph" w:styleId="a9">
    <w:name w:val="footer"/>
    <w:basedOn w:val="a"/>
    <w:link w:val="aa"/>
    <w:uiPriority w:val="99"/>
    <w:unhideWhenUsed/>
    <w:rsid w:val="00DD758B"/>
    <w:pPr>
      <w:tabs>
        <w:tab w:val="center" w:pos="4252"/>
        <w:tab w:val="right" w:pos="8504"/>
      </w:tabs>
      <w:snapToGrid w:val="0"/>
    </w:pPr>
  </w:style>
  <w:style w:type="character" w:customStyle="1" w:styleId="aa">
    <w:name w:val="フッター (文字)"/>
    <w:basedOn w:val="a0"/>
    <w:link w:val="a9"/>
    <w:uiPriority w:val="99"/>
    <w:rsid w:val="00DD758B"/>
    <w:rPr>
      <w:rFonts w:ascii="ＭＳ 明朝" w:hAnsi="ＭＳ 明朝" w:cs="ＭＳ 明朝"/>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044495">
      <w:bodyDiv w:val="1"/>
      <w:marLeft w:val="0"/>
      <w:marRight w:val="0"/>
      <w:marTop w:val="0"/>
      <w:marBottom w:val="0"/>
      <w:divBdr>
        <w:top w:val="none" w:sz="0" w:space="0" w:color="auto"/>
        <w:left w:val="none" w:sz="0" w:space="0" w:color="auto"/>
        <w:bottom w:val="none" w:sz="0" w:space="0" w:color="auto"/>
        <w:right w:val="none" w:sz="0" w:space="0" w:color="auto"/>
      </w:divBdr>
    </w:div>
    <w:div w:id="246185190">
      <w:bodyDiv w:val="1"/>
      <w:marLeft w:val="0"/>
      <w:marRight w:val="0"/>
      <w:marTop w:val="0"/>
      <w:marBottom w:val="0"/>
      <w:divBdr>
        <w:top w:val="none" w:sz="0" w:space="0" w:color="auto"/>
        <w:left w:val="none" w:sz="0" w:space="0" w:color="auto"/>
        <w:bottom w:val="none" w:sz="0" w:space="0" w:color="auto"/>
        <w:right w:val="none" w:sz="0" w:space="0" w:color="auto"/>
      </w:divBdr>
    </w:div>
    <w:div w:id="580334916">
      <w:bodyDiv w:val="1"/>
      <w:marLeft w:val="0"/>
      <w:marRight w:val="0"/>
      <w:marTop w:val="0"/>
      <w:marBottom w:val="0"/>
      <w:divBdr>
        <w:top w:val="none" w:sz="0" w:space="0" w:color="auto"/>
        <w:left w:val="none" w:sz="0" w:space="0" w:color="auto"/>
        <w:bottom w:val="none" w:sz="0" w:space="0" w:color="auto"/>
        <w:right w:val="none" w:sz="0" w:space="0" w:color="auto"/>
      </w:divBdr>
    </w:div>
    <w:div w:id="737361822">
      <w:bodyDiv w:val="1"/>
      <w:marLeft w:val="0"/>
      <w:marRight w:val="0"/>
      <w:marTop w:val="0"/>
      <w:marBottom w:val="0"/>
      <w:divBdr>
        <w:top w:val="none" w:sz="0" w:space="0" w:color="auto"/>
        <w:left w:val="none" w:sz="0" w:space="0" w:color="auto"/>
        <w:bottom w:val="none" w:sz="0" w:space="0" w:color="auto"/>
        <w:right w:val="none" w:sz="0" w:space="0" w:color="auto"/>
      </w:divBdr>
    </w:div>
    <w:div w:id="776481667">
      <w:bodyDiv w:val="1"/>
      <w:marLeft w:val="0"/>
      <w:marRight w:val="0"/>
      <w:marTop w:val="0"/>
      <w:marBottom w:val="0"/>
      <w:divBdr>
        <w:top w:val="none" w:sz="0" w:space="0" w:color="auto"/>
        <w:left w:val="none" w:sz="0" w:space="0" w:color="auto"/>
        <w:bottom w:val="none" w:sz="0" w:space="0" w:color="auto"/>
        <w:right w:val="none" w:sz="0" w:space="0" w:color="auto"/>
      </w:divBdr>
    </w:div>
    <w:div w:id="1025012256">
      <w:bodyDiv w:val="1"/>
      <w:marLeft w:val="0"/>
      <w:marRight w:val="0"/>
      <w:marTop w:val="0"/>
      <w:marBottom w:val="0"/>
      <w:divBdr>
        <w:top w:val="none" w:sz="0" w:space="0" w:color="auto"/>
        <w:left w:val="none" w:sz="0" w:space="0" w:color="auto"/>
        <w:bottom w:val="none" w:sz="0" w:space="0" w:color="auto"/>
        <w:right w:val="none" w:sz="0" w:space="0" w:color="auto"/>
      </w:divBdr>
    </w:div>
    <w:div w:id="1512794925">
      <w:bodyDiv w:val="1"/>
      <w:marLeft w:val="0"/>
      <w:marRight w:val="0"/>
      <w:marTop w:val="0"/>
      <w:marBottom w:val="0"/>
      <w:divBdr>
        <w:top w:val="none" w:sz="0" w:space="0" w:color="auto"/>
        <w:left w:val="none" w:sz="0" w:space="0" w:color="auto"/>
        <w:bottom w:val="none" w:sz="0" w:space="0" w:color="auto"/>
        <w:right w:val="none" w:sz="0" w:space="0" w:color="auto"/>
      </w:divBdr>
    </w:div>
    <w:div w:id="2009137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AC68DD-F055-4A4F-B454-B895CF405B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5</Pages>
  <Words>3325</Words>
  <Characters>118</Characters>
  <Application>Microsoft Office Word</Application>
  <DocSecurity>0</DocSecurity>
  <Lines>1</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suishinkyo</dc:creator>
  <cp:keywords/>
  <dc:description/>
  <cp:lastModifiedBy>大川 司</cp:lastModifiedBy>
  <cp:revision>36</cp:revision>
  <cp:lastPrinted>2024-08-14T01:57:00Z</cp:lastPrinted>
  <dcterms:created xsi:type="dcterms:W3CDTF">2024-08-09T04:26:00Z</dcterms:created>
  <dcterms:modified xsi:type="dcterms:W3CDTF">2024-11-07T07:46:00Z</dcterms:modified>
</cp:coreProperties>
</file>